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6C" w:rsidRDefault="0065756C" w:rsidP="0065756C">
      <w:pPr>
        <w:spacing w:after="0" w:line="240" w:lineRule="auto"/>
        <w:ind w:left="6" w:right="6" w:firstLine="0"/>
        <w:jc w:val="center"/>
        <w:rPr>
          <w:b/>
        </w:rPr>
      </w:pPr>
      <w:r>
        <w:rPr>
          <w:b/>
        </w:rPr>
        <w:t xml:space="preserve">Zasady udzielania dofinansowania </w:t>
      </w:r>
    </w:p>
    <w:p w:rsidR="0065756C" w:rsidRDefault="0065756C" w:rsidP="0065756C">
      <w:pPr>
        <w:spacing w:after="0" w:line="240" w:lineRule="auto"/>
        <w:ind w:left="6" w:right="6" w:firstLine="0"/>
        <w:jc w:val="center"/>
        <w:rPr>
          <w:b/>
        </w:rPr>
      </w:pPr>
      <w:r>
        <w:rPr>
          <w:b/>
        </w:rPr>
        <w:t xml:space="preserve">ze środków Państwowego Funduszu Rehabilitacji Osób Niepełnosprawnych </w:t>
      </w:r>
    </w:p>
    <w:p w:rsidR="0065756C" w:rsidRDefault="0065756C" w:rsidP="0065756C">
      <w:pPr>
        <w:spacing w:after="0" w:line="240" w:lineRule="auto"/>
        <w:ind w:left="6" w:right="6" w:firstLine="0"/>
        <w:jc w:val="center"/>
        <w:rPr>
          <w:b/>
        </w:rPr>
      </w:pPr>
      <w:r>
        <w:rPr>
          <w:b/>
        </w:rPr>
        <w:t xml:space="preserve">do usługi tłumacza języka migowego lub tłumacza – przewodnika </w:t>
      </w:r>
    </w:p>
    <w:p w:rsidR="009B2C2A" w:rsidRDefault="0065756C" w:rsidP="0065756C">
      <w:pPr>
        <w:spacing w:after="0" w:line="240" w:lineRule="auto"/>
        <w:ind w:left="6" w:right="6" w:firstLine="0"/>
        <w:jc w:val="center"/>
        <w:rPr>
          <w:b/>
        </w:rPr>
      </w:pPr>
      <w:r>
        <w:rPr>
          <w:b/>
        </w:rPr>
        <w:t xml:space="preserve">dla osób niepełnosprawnych </w:t>
      </w:r>
    </w:p>
    <w:p w:rsidR="0065756C" w:rsidRDefault="0065756C" w:rsidP="0065756C">
      <w:pPr>
        <w:spacing w:after="0" w:line="240" w:lineRule="auto"/>
        <w:ind w:left="6" w:right="6" w:firstLine="0"/>
        <w:jc w:val="center"/>
      </w:pPr>
      <w:bookmarkStart w:id="0" w:name="_GoBack"/>
      <w:bookmarkEnd w:id="0"/>
    </w:p>
    <w:p w:rsidR="009B2C2A" w:rsidRDefault="0065756C">
      <w:pPr>
        <w:ind w:left="0" w:firstLine="0"/>
      </w:pPr>
      <w:r>
        <w:t xml:space="preserve">Zasady określają: </w:t>
      </w:r>
    </w:p>
    <w:p w:rsidR="009B2C2A" w:rsidRDefault="0065756C">
      <w:pPr>
        <w:numPr>
          <w:ilvl w:val="0"/>
          <w:numId w:val="2"/>
        </w:numPr>
        <w:ind w:hanging="360"/>
      </w:pPr>
      <w:r>
        <w:t xml:space="preserve">Warunki, jakie muszą spełniać wnioskodawcy </w:t>
      </w:r>
      <w:r>
        <w:t>ubiegający się o udzielenie dofinansowania.</w:t>
      </w:r>
    </w:p>
    <w:p w:rsidR="009B2C2A" w:rsidRDefault="0065756C">
      <w:pPr>
        <w:numPr>
          <w:ilvl w:val="0"/>
          <w:numId w:val="2"/>
        </w:numPr>
        <w:ind w:hanging="360"/>
      </w:pPr>
      <w:r>
        <w:t>Zasady rozpatrywania i realizacji wniosku.</w:t>
      </w:r>
    </w:p>
    <w:p w:rsidR="009B2C2A" w:rsidRDefault="0065756C">
      <w:pPr>
        <w:numPr>
          <w:ilvl w:val="0"/>
          <w:numId w:val="2"/>
        </w:numPr>
        <w:spacing w:after="270"/>
        <w:ind w:hanging="360"/>
      </w:pPr>
      <w:r>
        <w:t>Wysokość dofinansowania.</w:t>
      </w:r>
    </w:p>
    <w:p w:rsidR="009B2C2A" w:rsidRDefault="0065756C">
      <w:pPr>
        <w:ind w:left="0" w:firstLine="0"/>
      </w:pPr>
      <w:r>
        <w:t>Definicje pojęć:</w:t>
      </w:r>
    </w:p>
    <w:p w:rsidR="009B2C2A" w:rsidRDefault="0065756C">
      <w:pPr>
        <w:numPr>
          <w:ilvl w:val="0"/>
          <w:numId w:val="3"/>
        </w:numPr>
        <w:ind w:hanging="360"/>
      </w:pPr>
      <w:r>
        <w:rPr>
          <w:b/>
        </w:rPr>
        <w:t>wnioskodawca -</w:t>
      </w:r>
      <w:r>
        <w:t xml:space="preserve"> osoba fizyczna (lub jej prawny opiekun), ubiegająca się o dofinansowanie do usługi tłumacza języka migowego lub </w:t>
      </w:r>
      <w:r>
        <w:t>tłumacza - przewodnika;</w:t>
      </w:r>
    </w:p>
    <w:p w:rsidR="009B2C2A" w:rsidRDefault="0065756C">
      <w:pPr>
        <w:numPr>
          <w:ilvl w:val="0"/>
          <w:numId w:val="3"/>
        </w:numPr>
        <w:ind w:hanging="360"/>
      </w:pPr>
      <w:r>
        <w:rPr>
          <w:b/>
        </w:rPr>
        <w:t>dofinansowanie -</w:t>
      </w:r>
      <w:r>
        <w:t xml:space="preserve"> oznacza tę część wydatków związanych z kosztami usługi tłumacza języka migowego lub tłumacza - przewodnika kwalifikujących się do objęcia wsparciem, która zostanie dofinansowana ze środków PFRON;</w:t>
      </w:r>
    </w:p>
    <w:p w:rsidR="009B2C2A" w:rsidRDefault="0065756C">
      <w:pPr>
        <w:numPr>
          <w:ilvl w:val="0"/>
          <w:numId w:val="3"/>
        </w:numPr>
        <w:ind w:hanging="360"/>
      </w:pPr>
      <w:r>
        <w:rPr>
          <w:b/>
        </w:rPr>
        <w:t>organ administracji</w:t>
      </w:r>
      <w:r>
        <w:rPr>
          <w:b/>
        </w:rPr>
        <w:t xml:space="preserve"> publicznej </w:t>
      </w:r>
      <w:r>
        <w:t>-  ministerstwa, centralne organy administracji rządowej, urzędy wojewódzkie, działające w nich lub we własnym imieniu inne terenowe organy administracji rządowej zespolonej i niezespolonej, organy jednostek samorządu terytorialnego;</w:t>
      </w:r>
    </w:p>
    <w:p w:rsidR="009B2C2A" w:rsidRDefault="0065756C">
      <w:pPr>
        <w:numPr>
          <w:ilvl w:val="0"/>
          <w:numId w:val="3"/>
        </w:numPr>
        <w:spacing w:after="546"/>
        <w:ind w:hanging="360"/>
      </w:pPr>
      <w:r>
        <w:rPr>
          <w:b/>
        </w:rPr>
        <w:t>PFRON</w:t>
      </w:r>
      <w:r>
        <w:t xml:space="preserve"> – Pa</w:t>
      </w:r>
      <w:r>
        <w:t>ństwowy Fundusz Rehabilitacji Osób Niepełnosprawnych.</w:t>
      </w:r>
    </w:p>
    <w:p w:rsidR="009B2C2A" w:rsidRDefault="0065756C">
      <w:pPr>
        <w:spacing w:after="254" w:line="259" w:lineRule="auto"/>
        <w:ind w:left="-5" w:hanging="10"/>
        <w:jc w:val="left"/>
      </w:pPr>
      <w:r>
        <w:rPr>
          <w:b/>
        </w:rPr>
        <w:t>I. Warunki, jakie muszą spełniać wnioskodawcy ubiegający się o udzielenie dofinansowania.</w:t>
      </w:r>
    </w:p>
    <w:p w:rsidR="009B2C2A" w:rsidRDefault="0065756C">
      <w:pPr>
        <w:numPr>
          <w:ilvl w:val="0"/>
          <w:numId w:val="4"/>
        </w:numPr>
        <w:spacing w:after="266"/>
        <w:ind w:hanging="360"/>
      </w:pPr>
      <w:r>
        <w:t>O dofinansowanie na usługi tłumacza języka migowego lub tłumacza – przewodnika mogą ubiegać się:</w:t>
      </w:r>
    </w:p>
    <w:p w:rsidR="009B2C2A" w:rsidRDefault="0065756C">
      <w:pPr>
        <w:numPr>
          <w:ilvl w:val="0"/>
          <w:numId w:val="6"/>
        </w:numPr>
        <w:ind w:hanging="360"/>
      </w:pPr>
      <w:r>
        <w:t>osoby niepełnos</w:t>
      </w:r>
      <w:r>
        <w:t>prawne posiadające ważne orzeczenie, o którym mowa w art. 1 ustawy z dnia 27 sierpnia 1997 r. o rehabilitacji zawodowej i społecznej oraz zatrudnianiu osób niepełnosprawnych (</w:t>
      </w:r>
      <w:r>
        <w:rPr>
          <w:shd w:val="clear" w:color="auto" w:fill="FAFAFA"/>
        </w:rPr>
        <w:t>Dz.U. 2018 poz. 511)</w:t>
      </w:r>
      <w:r>
        <w:t xml:space="preserve"> lub orzeczenie równoważne;</w:t>
      </w:r>
    </w:p>
    <w:p w:rsidR="009B2C2A" w:rsidRDefault="0065756C">
      <w:pPr>
        <w:numPr>
          <w:ilvl w:val="0"/>
          <w:numId w:val="6"/>
        </w:numPr>
        <w:ind w:hanging="360"/>
      </w:pPr>
      <w:r>
        <w:t>osoby niepełnosprawne, jeżeli usł</w:t>
      </w:r>
      <w:r>
        <w:t>uga umożliwi lub w znacznym stopniu ułatwi wykonywanie podstawowych, codziennych czynności lub kontaktów z otoczeniem, jeżeli jest to uzasadnione potrzebami wynikającymi z niepełnosprawności – dotyczy osób głuchoniemych i głuchoniewidomych;</w:t>
      </w:r>
    </w:p>
    <w:p w:rsidR="009B2C2A" w:rsidRDefault="0065756C">
      <w:pPr>
        <w:numPr>
          <w:ilvl w:val="0"/>
          <w:numId w:val="6"/>
        </w:numPr>
        <w:spacing w:after="266"/>
        <w:ind w:hanging="360"/>
      </w:pPr>
      <w:r>
        <w:t>osoby niepełnos</w:t>
      </w:r>
      <w:r>
        <w:t xml:space="preserve">prawne, które nie były stroną umowy zawartej z Państwowym Funduszem Rehabilitacji Osób Niepełnosprawnych i rozwiązanej z przyczyn leżących po stronie wnioskodawcy i nie posiadają wymagalnych zobowiązań wobec PFRON. </w:t>
      </w:r>
    </w:p>
    <w:p w:rsidR="009B2C2A" w:rsidRDefault="0065756C">
      <w:pPr>
        <w:numPr>
          <w:ilvl w:val="0"/>
          <w:numId w:val="4"/>
        </w:numPr>
        <w:spacing w:after="264"/>
        <w:ind w:hanging="360"/>
      </w:pPr>
      <w:r>
        <w:t>Wymagane dokumenty:</w:t>
      </w:r>
    </w:p>
    <w:p w:rsidR="009B2C2A" w:rsidRDefault="0065756C">
      <w:pPr>
        <w:spacing w:after="264"/>
        <w:ind w:left="0" w:firstLine="0"/>
      </w:pPr>
      <w:r>
        <w:t xml:space="preserve">Do wniosku należy </w:t>
      </w:r>
      <w:r>
        <w:t>dołączyć:</w:t>
      </w:r>
    </w:p>
    <w:p w:rsidR="009B2C2A" w:rsidRDefault="0065756C">
      <w:pPr>
        <w:numPr>
          <w:ilvl w:val="0"/>
          <w:numId w:val="5"/>
        </w:numPr>
        <w:ind w:hanging="360"/>
      </w:pPr>
      <w:r>
        <w:t>kopię orzeczenia o stopniu niepełnosprawności lub innego równoważnego orzeczenia potwierdzającego niepełnosprawność Wnioskodawcy - oryginał do wglądu;</w:t>
      </w:r>
    </w:p>
    <w:p w:rsidR="009B2C2A" w:rsidRDefault="0065756C">
      <w:pPr>
        <w:numPr>
          <w:ilvl w:val="0"/>
          <w:numId w:val="5"/>
        </w:numPr>
        <w:ind w:hanging="360"/>
      </w:pPr>
      <w:r>
        <w:t>w przypadku, gdy przedłożone orzeczenie nie wskazuje jako przyczyny niepełnosprawności uszkodze</w:t>
      </w:r>
      <w:r>
        <w:t>nia słuchu - zaświadczenie wystawione przez lekarza specjalistę zawierające informacje o przyczynie/rodzaju niepełnosprawności oraz informacje uzasadniające konieczność korzystania z usług tłumacza języka migowego lub tłumacza – przewodnika;</w:t>
      </w:r>
    </w:p>
    <w:p w:rsidR="009B2C2A" w:rsidRDefault="0065756C">
      <w:pPr>
        <w:numPr>
          <w:ilvl w:val="0"/>
          <w:numId w:val="5"/>
        </w:numPr>
        <w:ind w:hanging="360"/>
      </w:pPr>
      <w:r>
        <w:lastRenderedPageBreak/>
        <w:t>dokument potwi</w:t>
      </w:r>
      <w:r>
        <w:t>erdzający znajomość polskiego języka migowego (PJM), systemu językowo-migowego (SJM), sposobów komunikowania się osób głuchoniewidomych (SKOGN) przez osobę wykonującą usługę (np. zawiadomienie o wpisie do rejestru Wojewody) lub oświadczenie wypełnione i po</w:t>
      </w:r>
      <w:r>
        <w:t>dpisane przez osobę, która będzie wykonywała usługę;</w:t>
      </w:r>
    </w:p>
    <w:p w:rsidR="009B2C2A" w:rsidRDefault="0065756C">
      <w:pPr>
        <w:numPr>
          <w:ilvl w:val="0"/>
          <w:numId w:val="5"/>
        </w:numPr>
        <w:ind w:hanging="360"/>
      </w:pPr>
      <w:r>
        <w:t>dokumenty potwierdzające prawo występowania w  imieniu osoby niepełnosprawnej</w:t>
      </w:r>
    </w:p>
    <w:p w:rsidR="009B2C2A" w:rsidRDefault="0065756C">
      <w:pPr>
        <w:spacing w:after="0" w:line="259" w:lineRule="auto"/>
        <w:ind w:left="0" w:right="71" w:firstLine="0"/>
        <w:jc w:val="center"/>
      </w:pPr>
      <w:r>
        <w:t>(np. przedstawiciel ustawowy, opiekun prawny, pełnomocnik) – oryginał do wglądu;</w:t>
      </w:r>
    </w:p>
    <w:p w:rsidR="009B2C2A" w:rsidRDefault="0065756C">
      <w:pPr>
        <w:numPr>
          <w:ilvl w:val="0"/>
          <w:numId w:val="5"/>
        </w:numPr>
        <w:ind w:hanging="360"/>
      </w:pPr>
      <w:r>
        <w:t>dowód osobisty Wnioskodawcy i/lub osoby wyst</w:t>
      </w:r>
      <w:r>
        <w:t>ępującej w  jego imieniu (w przypadku osoby nieletniej – dowód  osobisty przedstawiciela ustawowego i skrócony odpis aktu urodzenia);</w:t>
      </w:r>
    </w:p>
    <w:p w:rsidR="009B2C2A" w:rsidRDefault="0065756C">
      <w:pPr>
        <w:numPr>
          <w:ilvl w:val="0"/>
          <w:numId w:val="5"/>
        </w:numPr>
        <w:ind w:hanging="360"/>
      </w:pPr>
      <w:r>
        <w:t>zaświadczenie ze szkoły lub uczelni – w przypadku, gdy świadczenie usługi ma mieć miejsce w tej placówce;</w:t>
      </w:r>
    </w:p>
    <w:p w:rsidR="009B2C2A" w:rsidRDefault="0065756C">
      <w:pPr>
        <w:numPr>
          <w:ilvl w:val="0"/>
          <w:numId w:val="5"/>
        </w:numPr>
        <w:spacing w:after="270"/>
        <w:ind w:hanging="360"/>
      </w:pPr>
      <w:r>
        <w:t>ofertę/kosztorys</w:t>
      </w:r>
      <w:r>
        <w:t xml:space="preserve"> usługi od osoby realizującej. </w:t>
      </w:r>
    </w:p>
    <w:p w:rsidR="009B2C2A" w:rsidRDefault="0065756C">
      <w:pPr>
        <w:pStyle w:val="Nagwek1"/>
        <w:numPr>
          <w:ilvl w:val="0"/>
          <w:numId w:val="9"/>
        </w:numPr>
        <w:ind w:left="411" w:right="0" w:hanging="426"/>
      </w:pPr>
      <w:r>
        <w:t>Zasady rozpatrywania i realizacji wniosków</w:t>
      </w:r>
    </w:p>
    <w:p w:rsidR="009B2C2A" w:rsidRDefault="0065756C">
      <w:pPr>
        <w:numPr>
          <w:ilvl w:val="0"/>
          <w:numId w:val="7"/>
        </w:numPr>
        <w:ind w:hanging="360"/>
      </w:pPr>
      <w:r>
        <w:t>Dofinansowanie ze środków PFRON następuje na pisemny wniosek złożony do Miejskiego Ośrodka Pomocy Rodzinie w Szczecinie.</w:t>
      </w:r>
    </w:p>
    <w:p w:rsidR="009B2C2A" w:rsidRDefault="0065756C">
      <w:pPr>
        <w:numPr>
          <w:ilvl w:val="0"/>
          <w:numId w:val="7"/>
        </w:numPr>
        <w:ind w:hanging="360"/>
      </w:pPr>
      <w:r>
        <w:t>Wnioski mogą dotyczyć tylko osób niepełnosprawnych zamieszka</w:t>
      </w:r>
      <w:r>
        <w:t>łych na terenie miasta Szczecin.</w:t>
      </w:r>
    </w:p>
    <w:p w:rsidR="009B2C2A" w:rsidRDefault="0065756C">
      <w:pPr>
        <w:numPr>
          <w:ilvl w:val="0"/>
          <w:numId w:val="7"/>
        </w:numPr>
        <w:ind w:hanging="360"/>
      </w:pPr>
      <w:r>
        <w:t xml:space="preserve">Wnioski przyjmowane są w ciągu całego roku kalendarzowego. </w:t>
      </w:r>
    </w:p>
    <w:p w:rsidR="009B2C2A" w:rsidRDefault="0065756C">
      <w:pPr>
        <w:numPr>
          <w:ilvl w:val="0"/>
          <w:numId w:val="7"/>
        </w:numPr>
        <w:ind w:hanging="360"/>
      </w:pPr>
      <w:r>
        <w:t>Miejski Ośrodek Pomocy Rodzinie w Szczecinie w terminie 10 dni od dnia złożenia wniosku informuje wnioskodawcę o występujących we wniosku uchybieniach, które powin</w:t>
      </w:r>
      <w:r>
        <w:t>ny zostać usunięte w terminie 30 dni. Nieusunięcie ich w wyznaczonym terminie powoduje pozostawienie wniosku bez rozpatrzenia.</w:t>
      </w:r>
    </w:p>
    <w:p w:rsidR="009B2C2A" w:rsidRDefault="0065756C">
      <w:pPr>
        <w:numPr>
          <w:ilvl w:val="0"/>
          <w:numId w:val="7"/>
        </w:numPr>
        <w:ind w:hanging="360"/>
      </w:pPr>
      <w:r>
        <w:t>Rozpatrzenie wniosków następuje po otrzymaniu przez powiat Szczecin środków finansowych z PFRON oraz po podjęciu przez Radę Miast</w:t>
      </w:r>
      <w:r>
        <w:t>a Szczecin uchwały w sprawie podziału tych środków na zadania realizowane w bieżącym roku kalendarzowym.</w:t>
      </w:r>
    </w:p>
    <w:p w:rsidR="009B2C2A" w:rsidRDefault="0065756C">
      <w:pPr>
        <w:numPr>
          <w:ilvl w:val="0"/>
          <w:numId w:val="7"/>
        </w:numPr>
        <w:ind w:hanging="360"/>
      </w:pPr>
      <w:r>
        <w:t>O sposobie rozpatrzenia wniosku Wnioskodawca zostaje poinformowany pisemnie.</w:t>
      </w:r>
    </w:p>
    <w:p w:rsidR="009B2C2A" w:rsidRDefault="0065756C">
      <w:pPr>
        <w:numPr>
          <w:ilvl w:val="0"/>
          <w:numId w:val="7"/>
        </w:numPr>
        <w:ind w:hanging="360"/>
      </w:pPr>
      <w:r>
        <w:t>Podstawę dofinansowania ze środków PFRON stanowi umowa o dofinansowanie.</w:t>
      </w:r>
    </w:p>
    <w:p w:rsidR="009B2C2A" w:rsidRDefault="0065756C">
      <w:pPr>
        <w:numPr>
          <w:ilvl w:val="0"/>
          <w:numId w:val="7"/>
        </w:numPr>
        <w:ind w:hanging="360"/>
      </w:pPr>
      <w:r>
        <w:t>Ś</w:t>
      </w:r>
      <w:r>
        <w:t>rodki finansowe PFRON przekazywane są zgodnie z warunkami określonymi w umowie o dofinansowanie.</w:t>
      </w:r>
    </w:p>
    <w:p w:rsidR="009B2C2A" w:rsidRDefault="0065756C">
      <w:pPr>
        <w:numPr>
          <w:ilvl w:val="0"/>
          <w:numId w:val="7"/>
        </w:numPr>
        <w:ind w:hanging="360"/>
      </w:pPr>
      <w:r>
        <w:t>Dofinansowanie nie obejmuje kosztów realizacji zadania poniesionych przed przyznaniem środków finansowych i zawarciem umowy o dofinansowanie.</w:t>
      </w:r>
    </w:p>
    <w:p w:rsidR="009B2C2A" w:rsidRDefault="0065756C">
      <w:pPr>
        <w:numPr>
          <w:ilvl w:val="0"/>
          <w:numId w:val="7"/>
        </w:numPr>
        <w:ind w:hanging="360"/>
      </w:pPr>
      <w:r>
        <w:t xml:space="preserve">Dokumenty </w:t>
      </w:r>
      <w:r>
        <w:t>związane z rozliczeniem dofinansowania podlegają weryfikacji pod względem zgodności z wnioskiem, zakresem zadania oraz podpisaną umową o dofinansowanie.</w:t>
      </w:r>
    </w:p>
    <w:p w:rsidR="009B2C2A" w:rsidRDefault="0065756C">
      <w:pPr>
        <w:numPr>
          <w:ilvl w:val="0"/>
          <w:numId w:val="7"/>
        </w:numPr>
        <w:ind w:hanging="360"/>
      </w:pPr>
      <w:r>
        <w:t>Podanie we wniosku i w załącznikach do wniosku informacji niezgodnych z prawdą eliminuje wniosek z dals</w:t>
      </w:r>
      <w:r>
        <w:t>zego rozpatrywania.</w:t>
      </w:r>
    </w:p>
    <w:p w:rsidR="009B2C2A" w:rsidRDefault="0065756C">
      <w:pPr>
        <w:numPr>
          <w:ilvl w:val="0"/>
          <w:numId w:val="7"/>
        </w:numPr>
        <w:ind w:hanging="360"/>
      </w:pPr>
      <w:r>
        <w:t>W przypadku zgonu lub rezygnacji wnioskodawcy z dofinansowania wniosek nie podlega dalszemu rozpatrywaniu. Do realizacji przyjmowany jest kolejny ze złożonych wniosków, z zachowaniem zasady realizacji wniosków według kolejności ich skła</w:t>
      </w:r>
      <w:r>
        <w:t>dania. Ze względu na ograniczone środki finansowe przeznaczone na realizację zadania, kwota dofinansowania w przypadku gdy wnioskowana kwota przewyższa możliwości finansowe MOPR, jest wypłacana, po uprzednim uzgodnieniu z Wnioskodawcą.</w:t>
      </w:r>
    </w:p>
    <w:p w:rsidR="009B2C2A" w:rsidRDefault="0065756C">
      <w:pPr>
        <w:numPr>
          <w:ilvl w:val="0"/>
          <w:numId w:val="7"/>
        </w:numPr>
        <w:ind w:hanging="360"/>
      </w:pPr>
      <w:r>
        <w:t>Wnioski niezrealizow</w:t>
      </w:r>
      <w:r>
        <w:t>ane w danym roku kalendarzowym, np. ze względu na wyczerpanie środków finansowych przeznaczonych na realizację zadania, „nie przechodzą” na rok następny.</w:t>
      </w:r>
    </w:p>
    <w:p w:rsidR="009B2C2A" w:rsidRDefault="0065756C">
      <w:pPr>
        <w:numPr>
          <w:ilvl w:val="0"/>
          <w:numId w:val="7"/>
        </w:numPr>
        <w:ind w:hanging="360"/>
      </w:pPr>
      <w:r>
        <w:t>Dofinansowaniu nie podlega świadczenie usługi przez tłumacza PJM, SJM i SKOGN w organach administracji</w:t>
      </w:r>
      <w:r>
        <w:t xml:space="preserve"> publicznej oraz w innych jednostkach, które ma nocy przepisów są zobowiązane do zapewnienia dostępu do ww. usług.</w:t>
      </w:r>
    </w:p>
    <w:p w:rsidR="009B2C2A" w:rsidRDefault="0065756C">
      <w:pPr>
        <w:numPr>
          <w:ilvl w:val="0"/>
          <w:numId w:val="7"/>
        </w:numPr>
        <w:ind w:hanging="360"/>
      </w:pPr>
      <w:r>
        <w:t>Godzina wykonanej usługi oznacza:</w:t>
      </w:r>
    </w:p>
    <w:p w:rsidR="009B2C2A" w:rsidRDefault="0065756C">
      <w:pPr>
        <w:numPr>
          <w:ilvl w:val="1"/>
          <w:numId w:val="7"/>
        </w:numPr>
        <w:ind w:left="370"/>
      </w:pPr>
      <w:r>
        <w:lastRenderedPageBreak/>
        <w:t>60 minut zegarowych w przypadku tłumaczenia zwykłego (np. sklep, zakład fotograficzny, itp.),</w:t>
      </w:r>
    </w:p>
    <w:p w:rsidR="009B2C2A" w:rsidRDefault="0065756C">
      <w:pPr>
        <w:numPr>
          <w:ilvl w:val="1"/>
          <w:numId w:val="7"/>
        </w:numPr>
        <w:ind w:left="370"/>
      </w:pPr>
      <w:r>
        <w:t>45 minut zega</w:t>
      </w:r>
      <w:r>
        <w:t>rowych w przypadku tłumaczenia specjalistycznego (np. wykłady, lekcje, ćwiczenia).</w:t>
      </w:r>
    </w:p>
    <w:p w:rsidR="009B2C2A" w:rsidRDefault="0065756C">
      <w:pPr>
        <w:pStyle w:val="Nagwek1"/>
        <w:numPr>
          <w:ilvl w:val="0"/>
          <w:numId w:val="9"/>
        </w:numPr>
        <w:ind w:left="501" w:right="0" w:hanging="516"/>
      </w:pPr>
      <w:r>
        <w:t>Wysokość dofinansowania</w:t>
      </w:r>
    </w:p>
    <w:p w:rsidR="009B2C2A" w:rsidRDefault="0065756C">
      <w:pPr>
        <w:spacing w:after="266"/>
        <w:ind w:left="0" w:firstLine="0"/>
      </w:pPr>
      <w:r>
        <w:t>Koszt wynagrodzenia tłumacza PJM, SJM i SKOGN wpisanego do rejestru, w ramach świadczenia, nie może być wyższy niż 2% przeciętnego wynagrodzenia w po</w:t>
      </w:r>
      <w:r>
        <w:t>przednim kwartale, począwszy od pierwszego dnia następnego miesiąca po ogłoszeniu przez Prezesa Głównego Urzędu Statystycznego w Dzienniku Urzędowym Rzeczypospolitej Polskiej „Monitor Polski” na podstawie art. 20 pkt 2 ustawy z dnia 17 grudnia 1998 r. o em</w:t>
      </w:r>
      <w:r>
        <w:t xml:space="preserve">eryturach i rentach z Funduszu Ubezpieczeń Społecznych </w:t>
      </w:r>
      <w:hyperlink r:id="rId5">
        <w:r>
          <w:rPr>
            <w:rStyle w:val="ListLabel73"/>
          </w:rPr>
          <w:t>(</w:t>
        </w:r>
      </w:hyperlink>
      <w:hyperlink r:id="rId6">
        <w:r>
          <w:rPr>
            <w:rStyle w:val="ListLabel74"/>
          </w:rPr>
          <w:t>Dz.U. 2018 poz. 1270</w:t>
        </w:r>
      </w:hyperlink>
      <w:hyperlink r:id="rId7">
        <w:r>
          <w:rPr>
            <w:rStyle w:val="ListLabel73"/>
          </w:rPr>
          <w:t>)</w:t>
        </w:r>
      </w:hyperlink>
      <w:r>
        <w:t xml:space="preserve"> za godzinę świadczenia. </w:t>
      </w:r>
    </w:p>
    <w:p w:rsidR="009B2C2A" w:rsidRDefault="0065756C">
      <w:pPr>
        <w:pStyle w:val="Nagwek1"/>
        <w:numPr>
          <w:ilvl w:val="0"/>
          <w:numId w:val="9"/>
        </w:numPr>
        <w:ind w:left="340" w:right="0" w:hanging="355"/>
      </w:pPr>
      <w:r>
        <w:t>Podstawa prawna</w:t>
      </w:r>
    </w:p>
    <w:p w:rsidR="009B2C2A" w:rsidRDefault="0065756C">
      <w:pPr>
        <w:numPr>
          <w:ilvl w:val="0"/>
          <w:numId w:val="8"/>
        </w:numPr>
        <w:ind w:hanging="360"/>
      </w:pPr>
      <w:r>
        <w:t xml:space="preserve">ustawa z dnia 19 sierpnia 2011 r. o języku migowym i innych środkach komunikowania się </w:t>
      </w:r>
      <w:hyperlink r:id="rId8">
        <w:r>
          <w:rPr>
            <w:rStyle w:val="ListLabel73"/>
          </w:rPr>
          <w:t>(</w:t>
        </w:r>
      </w:hyperlink>
      <w:hyperlink r:id="rId9">
        <w:r>
          <w:rPr>
            <w:rStyle w:val="ListLabel74"/>
          </w:rPr>
          <w:t>Dz.U. 2017 poz. 1824</w:t>
        </w:r>
      </w:hyperlink>
      <w:hyperlink r:id="rId10">
        <w:r>
          <w:rPr>
            <w:rStyle w:val="ListLabel73"/>
          </w:rPr>
          <w:t>)</w:t>
        </w:r>
      </w:hyperlink>
      <w:r>
        <w:t xml:space="preserve">; </w:t>
      </w:r>
    </w:p>
    <w:p w:rsidR="009B2C2A" w:rsidRDefault="0065756C">
      <w:pPr>
        <w:numPr>
          <w:ilvl w:val="0"/>
          <w:numId w:val="8"/>
        </w:numPr>
        <w:ind w:hanging="360"/>
      </w:pPr>
      <w:r>
        <w:t>ustawa z dnia 2</w:t>
      </w:r>
      <w:r>
        <w:t>7 sierpnia 1997 r. o rehabilitacji zawodowej i społecznej oraz zatrudnianiu osób niepełnosprawnych (</w:t>
      </w:r>
      <w:r>
        <w:rPr>
          <w:shd w:val="clear" w:color="auto" w:fill="FAFAFA"/>
        </w:rPr>
        <w:t xml:space="preserve">Dz.U. 2021 poz. 573 ze </w:t>
      </w:r>
      <w:proofErr w:type="spellStart"/>
      <w:r>
        <w:rPr>
          <w:shd w:val="clear" w:color="auto" w:fill="FAFAFA"/>
        </w:rPr>
        <w:t>zminami</w:t>
      </w:r>
      <w:proofErr w:type="spellEnd"/>
      <w:r>
        <w:rPr>
          <w:shd w:val="clear" w:color="auto" w:fill="FAFAFA"/>
        </w:rPr>
        <w:t>)</w:t>
      </w:r>
      <w:r>
        <w:t>;</w:t>
      </w:r>
    </w:p>
    <w:p w:rsidR="009B2C2A" w:rsidRDefault="0065756C">
      <w:pPr>
        <w:numPr>
          <w:ilvl w:val="0"/>
          <w:numId w:val="8"/>
        </w:numPr>
        <w:ind w:hanging="360"/>
      </w:pPr>
      <w:r>
        <w:t xml:space="preserve">Rozporządzenie Ministra Pracy i Polityki Społecznej z dnia 25 czerwca 2002 r. w sprawie określenia rodzajów zadań powiatu, </w:t>
      </w:r>
      <w:r>
        <w:t>które mogą być finansowane ze środków Państwowego Funduszu Rehabilitacji Osób Niepełnosprawnych [tekst jednolity: Dz. U. z 2015 r., poz. 926].</w:t>
      </w:r>
    </w:p>
    <w:sectPr w:rsidR="009B2C2A">
      <w:pgSz w:w="11906" w:h="16838"/>
      <w:pgMar w:top="1144" w:right="1130" w:bottom="1354" w:left="113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866"/>
    <w:multiLevelType w:val="multilevel"/>
    <w:tmpl w:val="7B1C41C6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0F5212B"/>
    <w:multiLevelType w:val="multilevel"/>
    <w:tmpl w:val="50986DA2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7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98C2A50"/>
    <w:multiLevelType w:val="multilevel"/>
    <w:tmpl w:val="046E2E28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01F3FFE"/>
    <w:multiLevelType w:val="multilevel"/>
    <w:tmpl w:val="6E007030"/>
    <w:lvl w:ilvl="0">
      <w:start w:val="1"/>
      <w:numFmt w:val="lowerLetter"/>
      <w:lvlText w:val="%1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888698B"/>
    <w:multiLevelType w:val="multilevel"/>
    <w:tmpl w:val="7E282308"/>
    <w:lvl w:ilvl="0">
      <w:start w:val="1"/>
      <w:numFmt w:val="lowerLetter"/>
      <w:lvlText w:val="%1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D876CAC"/>
    <w:multiLevelType w:val="multilevel"/>
    <w:tmpl w:val="BB94B1A4"/>
    <w:lvl w:ilvl="0">
      <w:start w:val="1"/>
      <w:numFmt w:val="decimal"/>
      <w:lvlText w:val="%1."/>
      <w:lvlJc w:val="left"/>
      <w:pPr>
        <w:ind w:left="533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CB9696F"/>
    <w:multiLevelType w:val="multilevel"/>
    <w:tmpl w:val="3374698A"/>
    <w:lvl w:ilvl="0">
      <w:start w:val="2"/>
      <w:numFmt w:val="upperRoman"/>
      <w:pStyle w:val="Nagwek1"/>
      <w:lvlText w:val="%1."/>
      <w:lvlJc w:val="left"/>
      <w:pPr>
        <w:ind w:left="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1D4B33"/>
    <w:multiLevelType w:val="multilevel"/>
    <w:tmpl w:val="608C6A32"/>
    <w:lvl w:ilvl="0">
      <w:start w:val="2"/>
      <w:numFmt w:val="upperRoman"/>
      <w:lvlText w:val="%1."/>
      <w:lvlJc w:val="left"/>
      <w:pPr>
        <w:ind w:left="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7E7052D4"/>
    <w:multiLevelType w:val="multilevel"/>
    <w:tmpl w:val="B652ED3C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A"/>
    <w:rsid w:val="0065756C"/>
    <w:rsid w:val="009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11B"/>
  <w15:docId w15:val="{CC6ABC10-4F46-450F-BBC2-4350180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70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254" w:line="259" w:lineRule="auto"/>
      <w:ind w:left="17" w:right="7" w:hanging="10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Liberation Serif" w:eastAsia="Liberation Serif" w:hAnsi="Liberation Serif" w:cs="Liberation Serif"/>
      <w:b/>
      <w:color w:val="000000"/>
      <w:sz w:val="24"/>
    </w:rPr>
  </w:style>
  <w:style w:type="character" w:customStyle="1" w:styleId="ListLabel1">
    <w:name w:val="ListLabel 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4">
    <w:name w:val="ListLabel 74"/>
    <w:qFormat/>
    <w:rPr>
      <w:shd w:val="clear" w:color="auto" w:fill="F5F5F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6C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12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270" TargetMode="External"/><Relationship Id="rId10" Type="http://schemas.openxmlformats.org/officeDocument/2006/relationships/hyperlink" Target="http://prawo.sejm.gov.pl/isap.nsf/DocDetails.xsp?id=WDU20170001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700018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dc:description/>
  <cp:lastModifiedBy>Agnieszka Bargieł</cp:lastModifiedBy>
  <cp:revision>3</cp:revision>
  <cp:lastPrinted>2021-05-13T13:05:00Z</cp:lastPrinted>
  <dcterms:created xsi:type="dcterms:W3CDTF">2021-04-30T11:05:00Z</dcterms:created>
  <dcterms:modified xsi:type="dcterms:W3CDTF">2021-05-13T13:05:00Z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