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AF" w:rsidRDefault="003C63AF" w:rsidP="003C63AF">
      <w:pPr>
        <w:spacing w:after="0" w:line="240" w:lineRule="auto"/>
        <w:ind w:left="11" w:hanging="11"/>
        <w:jc w:val="center"/>
        <w:rPr>
          <w:b/>
        </w:rPr>
      </w:pPr>
      <w:r>
        <w:rPr>
          <w:b/>
        </w:rPr>
        <w:t xml:space="preserve">Zasady udzielania dofinansowania </w:t>
      </w:r>
    </w:p>
    <w:p w:rsidR="003C63AF" w:rsidRDefault="003C63AF" w:rsidP="003C63AF">
      <w:pPr>
        <w:spacing w:after="0" w:line="240" w:lineRule="auto"/>
        <w:ind w:left="11" w:hanging="11"/>
        <w:jc w:val="center"/>
        <w:rPr>
          <w:b/>
        </w:rPr>
      </w:pPr>
      <w:r>
        <w:rPr>
          <w:b/>
        </w:rPr>
        <w:t xml:space="preserve">ze środków Państwowego Funduszu Rehabilitacji Osób Niepełnosprawnych </w:t>
      </w:r>
    </w:p>
    <w:p w:rsidR="003C63AF" w:rsidRDefault="003C63AF" w:rsidP="003C63AF">
      <w:pPr>
        <w:spacing w:after="0" w:line="240" w:lineRule="auto"/>
        <w:ind w:left="11" w:hanging="11"/>
        <w:jc w:val="center"/>
        <w:rPr>
          <w:b/>
        </w:rPr>
      </w:pPr>
      <w:r>
        <w:rPr>
          <w:b/>
        </w:rPr>
        <w:t xml:space="preserve">do likwidacji barier technicznych </w:t>
      </w:r>
    </w:p>
    <w:p w:rsidR="006075B4" w:rsidRDefault="003C63AF" w:rsidP="003C63AF">
      <w:pPr>
        <w:spacing w:after="0" w:line="240" w:lineRule="auto"/>
        <w:ind w:left="11" w:hanging="11"/>
        <w:jc w:val="center"/>
        <w:rPr>
          <w:b/>
        </w:rPr>
      </w:pPr>
      <w:r>
        <w:rPr>
          <w:b/>
        </w:rPr>
        <w:t xml:space="preserve">w związku z indywidualnymi potrzebami osób niepełnosprawnych </w:t>
      </w:r>
    </w:p>
    <w:p w:rsidR="003C63AF" w:rsidRPr="003C63AF" w:rsidRDefault="003C63AF" w:rsidP="003C63AF">
      <w:pPr>
        <w:spacing w:after="0" w:line="240" w:lineRule="auto"/>
        <w:ind w:left="11" w:hanging="11"/>
        <w:jc w:val="center"/>
        <w:rPr>
          <w:b/>
        </w:rPr>
      </w:pPr>
    </w:p>
    <w:p w:rsidR="006075B4" w:rsidRDefault="003C63AF">
      <w:r>
        <w:t xml:space="preserve">Zasady określają: </w:t>
      </w:r>
    </w:p>
    <w:p w:rsidR="006075B4" w:rsidRDefault="003C63AF">
      <w:pPr>
        <w:numPr>
          <w:ilvl w:val="0"/>
          <w:numId w:val="1"/>
        </w:numPr>
        <w:ind w:hanging="360"/>
      </w:pPr>
      <w:r>
        <w:t>Warunki, jakie muszą spełniać osoby niepełnosprawne ubiegające się o dofinansowanie do likwidacji barier technicznych.</w:t>
      </w:r>
    </w:p>
    <w:p w:rsidR="006075B4" w:rsidRDefault="003C63AF">
      <w:pPr>
        <w:numPr>
          <w:ilvl w:val="0"/>
          <w:numId w:val="1"/>
        </w:numPr>
        <w:ind w:hanging="360"/>
      </w:pPr>
      <w:r>
        <w:t>Zasady rozpatrywania i realizacji wniosku.</w:t>
      </w:r>
    </w:p>
    <w:p w:rsidR="006075B4" w:rsidRDefault="003C63AF">
      <w:pPr>
        <w:numPr>
          <w:ilvl w:val="0"/>
          <w:numId w:val="1"/>
        </w:numPr>
        <w:ind w:hanging="360"/>
      </w:pPr>
      <w:r>
        <w:t>Wysokość dofinansowania.</w:t>
      </w:r>
    </w:p>
    <w:p w:rsidR="006075B4" w:rsidRDefault="003C63AF">
      <w:pPr>
        <w:numPr>
          <w:ilvl w:val="0"/>
          <w:numId w:val="1"/>
        </w:numPr>
        <w:spacing w:after="266"/>
        <w:ind w:hanging="360"/>
      </w:pPr>
      <w:r>
        <w:t xml:space="preserve">Katalog sprzętów objętych dofinansowaniem ze środków PFRON w ramach likwidacji barier technicznych. </w:t>
      </w:r>
    </w:p>
    <w:p w:rsidR="006075B4" w:rsidRDefault="003C63AF">
      <w:r>
        <w:t>Definicje pojęć:</w:t>
      </w:r>
    </w:p>
    <w:p w:rsidR="006075B4" w:rsidRDefault="003C63AF">
      <w:pPr>
        <w:numPr>
          <w:ilvl w:val="0"/>
          <w:numId w:val="2"/>
        </w:numPr>
        <w:ind w:hanging="360"/>
      </w:pPr>
      <w:r>
        <w:rPr>
          <w:b/>
        </w:rPr>
        <w:t>wnioskodawca -</w:t>
      </w:r>
      <w:r>
        <w:t xml:space="preserve"> osoba fizyczna (lub jej prawny opiekun), ubiegająca się o dofinansowanie w ramach zadania związanego z likwidacją barier technicznych;</w:t>
      </w:r>
    </w:p>
    <w:p w:rsidR="006075B4" w:rsidRDefault="003C63AF">
      <w:pPr>
        <w:numPr>
          <w:ilvl w:val="0"/>
          <w:numId w:val="2"/>
        </w:numPr>
        <w:ind w:hanging="360"/>
      </w:pPr>
      <w:r>
        <w:rPr>
          <w:b/>
        </w:rPr>
        <w:t>dofinansowanie -</w:t>
      </w:r>
      <w:r>
        <w:t xml:space="preserve"> ta część kosztów likwidacji bariery, która stanowi udział środków PFRON;</w:t>
      </w:r>
    </w:p>
    <w:p w:rsidR="006075B4" w:rsidRDefault="003C63AF">
      <w:pPr>
        <w:numPr>
          <w:ilvl w:val="0"/>
          <w:numId w:val="2"/>
        </w:numPr>
        <w:ind w:hanging="360"/>
      </w:pPr>
      <w:r>
        <w:rPr>
          <w:b/>
        </w:rPr>
        <w:t xml:space="preserve">likwidacja bariery technicznej - </w:t>
      </w:r>
      <w:r>
        <w:t>dokonywanie inwestycji</w:t>
      </w:r>
      <w:r>
        <w:rPr>
          <w:b/>
        </w:rPr>
        <w:t xml:space="preserve"> </w:t>
      </w:r>
      <w:r>
        <w:t>przede wszystkim w sprzęt techniczny pozwalający osobie niepełnosprawnej na samodzielne funkcjonowanie lub ułatwienie osobie sprawującej opiekę.</w:t>
      </w:r>
    </w:p>
    <w:p w:rsidR="006075B4" w:rsidRDefault="003C63AF">
      <w:pPr>
        <w:numPr>
          <w:ilvl w:val="0"/>
          <w:numId w:val="2"/>
        </w:numPr>
        <w:spacing w:after="822"/>
        <w:ind w:hanging="360"/>
      </w:pPr>
      <w:r>
        <w:rPr>
          <w:b/>
        </w:rPr>
        <w:t>PFRON</w:t>
      </w:r>
      <w:r>
        <w:t xml:space="preserve"> – Państwowy Fundusz Rehabilitacji Osób Niepełnosprawnych.</w:t>
      </w:r>
    </w:p>
    <w:p w:rsidR="006075B4" w:rsidRDefault="003C63AF">
      <w:pPr>
        <w:numPr>
          <w:ilvl w:val="0"/>
          <w:numId w:val="3"/>
        </w:numPr>
        <w:spacing w:after="251" w:line="264" w:lineRule="auto"/>
        <w:ind w:hanging="516"/>
        <w:jc w:val="left"/>
      </w:pPr>
      <w:r>
        <w:rPr>
          <w:b/>
        </w:rPr>
        <w:t>Warunki, jakie muszą spełniać osoby niepełnosprawne ubiegające się o dofinansowanie do likwidacji barier technicznych</w:t>
      </w:r>
    </w:p>
    <w:p w:rsidR="006075B4" w:rsidRDefault="003C63AF">
      <w:pPr>
        <w:numPr>
          <w:ilvl w:val="1"/>
          <w:numId w:val="3"/>
        </w:numPr>
        <w:spacing w:after="270"/>
        <w:ind w:hanging="360"/>
      </w:pPr>
      <w:r>
        <w:t>O dofinansowanie ze środków PFRON do likwidacji barier technicznych mogą ubiegać się:</w:t>
      </w:r>
    </w:p>
    <w:p w:rsidR="006075B4" w:rsidRDefault="003C63AF">
      <w:pPr>
        <w:numPr>
          <w:ilvl w:val="1"/>
          <w:numId w:val="5"/>
        </w:numPr>
        <w:ind w:hanging="360"/>
      </w:pPr>
      <w:r>
        <w:t>osoby niepełnosprawne posiadające ważne orzeczenie, o którym mowa w art. 1 ustawy z dnia 27 sierpnia 1997 r. o rehabilitacji zawodowej i społecznej oraz zatrudnianiu osób niepełnosprawnych (</w:t>
      </w:r>
      <w:r>
        <w:rPr>
          <w:shd w:val="clear" w:color="auto" w:fill="FAFAFA"/>
        </w:rPr>
        <w:t>Dz.U. 2018 poz. 573)</w:t>
      </w:r>
      <w:r>
        <w:t xml:space="preserve"> lub orzeczenie równoważne;</w:t>
      </w:r>
    </w:p>
    <w:p w:rsidR="006075B4" w:rsidRDefault="003C63AF">
      <w:pPr>
        <w:numPr>
          <w:ilvl w:val="1"/>
          <w:numId w:val="5"/>
        </w:numPr>
        <w:ind w:hanging="360"/>
      </w:pPr>
      <w:r>
        <w:t xml:space="preserve">osoby niepełnosprawne, jeżeli jest to uzasadnione potrzebami wynikającymi z niepełnosprawności; </w:t>
      </w:r>
    </w:p>
    <w:p w:rsidR="006075B4" w:rsidRDefault="003C63AF">
      <w:pPr>
        <w:numPr>
          <w:ilvl w:val="1"/>
          <w:numId w:val="5"/>
        </w:numPr>
        <w:ind w:hanging="360"/>
      </w:pPr>
      <w:r>
        <w:t xml:space="preserve">osoby niepełnosprawne, które w ciągu trzech lat przed złożeniem wniosku nie uzyskały dofinansowania ze środków PFRON w ramach w/w zadania; </w:t>
      </w:r>
    </w:p>
    <w:p w:rsidR="006075B4" w:rsidRDefault="003C63AF">
      <w:pPr>
        <w:numPr>
          <w:ilvl w:val="1"/>
          <w:numId w:val="5"/>
        </w:numPr>
        <w:spacing w:after="266"/>
        <w:ind w:hanging="360"/>
      </w:pPr>
      <w:r>
        <w:t xml:space="preserve">osoby niepełnosprawne, które nie były stroną umowy zawartej z Państwowym Funduszem Rehabilitacji Osób Niepełnosprawnych i rozwiązanej z przyczyn leżących po stronie wnioskodawcy i nie posiadają wymagalnych zobowiązań wobec PFRON. </w:t>
      </w:r>
    </w:p>
    <w:p w:rsidR="006075B4" w:rsidRDefault="003C63AF">
      <w:pPr>
        <w:numPr>
          <w:ilvl w:val="1"/>
          <w:numId w:val="3"/>
        </w:numPr>
        <w:spacing w:after="264"/>
        <w:ind w:hanging="360"/>
      </w:pPr>
      <w:r>
        <w:t>Wymagane dokumenty:</w:t>
      </w:r>
    </w:p>
    <w:p w:rsidR="006075B4" w:rsidRDefault="003C63AF">
      <w:pPr>
        <w:spacing w:after="264"/>
      </w:pPr>
      <w:r>
        <w:t xml:space="preserve">            Do wniosku należy dołączyć:</w:t>
      </w:r>
    </w:p>
    <w:p w:rsidR="006075B4" w:rsidRDefault="003C63AF">
      <w:pPr>
        <w:numPr>
          <w:ilvl w:val="1"/>
          <w:numId w:val="4"/>
        </w:numPr>
        <w:ind w:hanging="360"/>
      </w:pPr>
      <w:r>
        <w:t>kopię orzeczenia o niepełnosprawności lub innego równoważnego orzeczenia potwierdzającego niepełnosprawność Wnioskodawcy, a jeśli to ma miejsce to także innych osób niepełnosprawnych wspólnie zamieszkujących – oryginał do wglądu;</w:t>
      </w:r>
    </w:p>
    <w:p w:rsidR="006075B4" w:rsidRDefault="003C63AF">
      <w:pPr>
        <w:spacing w:after="266"/>
        <w:ind w:left="709" w:firstLine="0"/>
      </w:pPr>
      <w:r>
        <w:t xml:space="preserve">aktualne zaświadczenie lekarza zawierające informacje o rodzaju niepełnosprawności, obecnym stanie zdrowia ze wskazaniem w jaki sposób przedmiot dofinansowania przyczyni się do likwidacji bariery technicznej (Zaświadczenie ważne 3 miesiące od daty wystawienia); </w:t>
      </w:r>
    </w:p>
    <w:p w:rsidR="006075B4" w:rsidRDefault="003C63AF">
      <w:pPr>
        <w:spacing w:after="266"/>
        <w:ind w:left="709" w:firstLine="0"/>
        <w:rPr>
          <w:color w:val="FF0000"/>
        </w:rPr>
      </w:pPr>
      <w:r>
        <w:lastRenderedPageBreak/>
        <w:t>Uwaga:</w:t>
      </w:r>
    </w:p>
    <w:p w:rsidR="006075B4" w:rsidRDefault="003C63AF">
      <w:pPr>
        <w:spacing w:after="266"/>
        <w:ind w:left="709" w:firstLine="0"/>
        <w:rPr>
          <w:color w:val="FF0000"/>
        </w:rPr>
      </w:pPr>
      <w:r>
        <w:t xml:space="preserve">W przypadku wniosków o dofinansowanie </w:t>
      </w:r>
      <w:proofErr w:type="spellStart"/>
      <w:r>
        <w:t>iRobota</w:t>
      </w:r>
      <w:proofErr w:type="spellEnd"/>
      <w:r>
        <w:t>, do wniosku należy dołączyć zaświadczenie od lekarza okulisty, że wnioskodawca jest osobą niewidomą;</w:t>
      </w:r>
    </w:p>
    <w:p w:rsidR="006075B4" w:rsidRDefault="003C63AF">
      <w:pPr>
        <w:spacing w:after="266"/>
        <w:ind w:left="709" w:firstLine="0"/>
        <w:rPr>
          <w:color w:val="FF0000"/>
        </w:rPr>
      </w:pPr>
      <w:r>
        <w:t>W przypadku wniosków o dofinansowanie zmywarki do wniosku należy dołączyć zaświadczenie od lekarza specjalisty (np. chirurg, onkolog, ginekolog), że wnioskodawca jest po zabiegu mastektomii;</w:t>
      </w:r>
    </w:p>
    <w:p w:rsidR="006075B4" w:rsidRDefault="003C63AF">
      <w:pPr>
        <w:numPr>
          <w:ilvl w:val="1"/>
          <w:numId w:val="4"/>
        </w:numPr>
        <w:ind w:hanging="360"/>
      </w:pPr>
      <w:r>
        <w:t>dokumenty potwierdzające prawo występowania w imieniu osoby niepełnosprawnej (np. skrócony odpis aktu urodzenia, postanowienie sądu, pełnomocnictwo notarialne) – oryginał do wglądu;</w:t>
      </w:r>
    </w:p>
    <w:p w:rsidR="006075B4" w:rsidRDefault="003C63AF">
      <w:pPr>
        <w:numPr>
          <w:ilvl w:val="1"/>
          <w:numId w:val="4"/>
        </w:numPr>
        <w:ind w:hanging="360"/>
      </w:pPr>
      <w:r>
        <w:t>dowód osobisty Wnioskodawcy lub/i osoby występującej w jego imieniu (w przypadku osoby niepełnoletniej – dowód osobisty przedstawiciela ustawowego i skrócony odpis aktu urodzenia)- oryginał do wglądu;</w:t>
      </w:r>
    </w:p>
    <w:p w:rsidR="006075B4" w:rsidRDefault="003C63AF">
      <w:pPr>
        <w:numPr>
          <w:ilvl w:val="1"/>
          <w:numId w:val="4"/>
        </w:numPr>
        <w:spacing w:after="266"/>
        <w:ind w:hanging="360"/>
      </w:pPr>
      <w:r>
        <w:t>informację ze sklepu dotyczącą wnioskowanego sprzętu ze wskazaniem marki i modelu/nr katalogowego, jego ceny brutto oraz ewentualnego czasu oczekiwania na realizację (faktura Pro Forma, oferta cenowa).</w:t>
      </w:r>
    </w:p>
    <w:p w:rsidR="006075B4" w:rsidRDefault="003C63AF">
      <w:pPr>
        <w:numPr>
          <w:ilvl w:val="0"/>
          <w:numId w:val="3"/>
        </w:numPr>
        <w:spacing w:after="248" w:line="264" w:lineRule="auto"/>
        <w:ind w:hanging="516"/>
        <w:jc w:val="left"/>
      </w:pPr>
      <w:r>
        <w:rPr>
          <w:b/>
        </w:rPr>
        <w:t>Zasady rozpatrywania i realizacji wniosków</w:t>
      </w:r>
    </w:p>
    <w:p w:rsidR="006075B4" w:rsidRDefault="003C63AF">
      <w:pPr>
        <w:numPr>
          <w:ilvl w:val="1"/>
          <w:numId w:val="3"/>
        </w:numPr>
        <w:ind w:hanging="360"/>
      </w:pPr>
      <w:r>
        <w:t>Dofinansowanie ze środków PFRON następuje na pisemny wniosek złożony do Miejskiego Ośrodka Pomocy Rodzinie w Szczecinie.</w:t>
      </w:r>
    </w:p>
    <w:p w:rsidR="006075B4" w:rsidRDefault="003C63AF">
      <w:pPr>
        <w:numPr>
          <w:ilvl w:val="1"/>
          <w:numId w:val="3"/>
        </w:numPr>
        <w:ind w:hanging="360"/>
      </w:pPr>
      <w:r>
        <w:t>Wnioski mogą dotyczyć tylko osób niepełnosprawnych zamieszkałych na terenie miasta Szczecin.</w:t>
      </w:r>
    </w:p>
    <w:p w:rsidR="006075B4" w:rsidRDefault="003C63AF">
      <w:pPr>
        <w:numPr>
          <w:ilvl w:val="1"/>
          <w:numId w:val="3"/>
        </w:numPr>
        <w:ind w:hanging="360"/>
      </w:pPr>
      <w:r>
        <w:t xml:space="preserve">Wnioski przyjmowane są w ciągu całego roku kalendarzowego. </w:t>
      </w:r>
    </w:p>
    <w:p w:rsidR="006075B4" w:rsidRDefault="003C63AF">
      <w:pPr>
        <w:numPr>
          <w:ilvl w:val="1"/>
          <w:numId w:val="3"/>
        </w:numPr>
        <w:ind w:hanging="360"/>
      </w:pPr>
      <w:r>
        <w:t>Miejski Ośrodek Pomocy Rodzinie w Szczecinie w terminie 10 dni od dnia złożenia wniosku informuje wnioskodawcę o występujących we wniosku uchybieniach, które powinny zostać usunięte w terminie 30 dni. Nieusunięcie ich w wyznaczonym terminie powoduje pozostawienie wniosku bez rozpatrzenia.</w:t>
      </w:r>
    </w:p>
    <w:p w:rsidR="006075B4" w:rsidRDefault="003C63AF">
      <w:pPr>
        <w:numPr>
          <w:ilvl w:val="1"/>
          <w:numId w:val="3"/>
        </w:numPr>
        <w:ind w:hanging="360"/>
      </w:pPr>
      <w:r>
        <w:t>Rozpatrzenie wniosków następuje po otrzymaniu przez powiat Szczecin środków finansowych z PFRON oraz po podjęciu przez Radę Miasta Szczecin uchwały w sprawie podziału tych środków na zadania realizowane w bieżącym roku kalendarzowym.</w:t>
      </w:r>
    </w:p>
    <w:p w:rsidR="006075B4" w:rsidRDefault="003C63AF">
      <w:pPr>
        <w:numPr>
          <w:ilvl w:val="1"/>
          <w:numId w:val="3"/>
        </w:numPr>
        <w:spacing w:after="0" w:line="240" w:lineRule="auto"/>
        <w:ind w:hanging="360"/>
      </w:pPr>
      <w:r>
        <w:rPr>
          <w:b/>
        </w:rPr>
        <w:t>Wnioski dotyczące dzieci są typowane do realizacji w pierwszej kolejności, uwzględniając posiadane środki finansowe na realizację zadania</w:t>
      </w:r>
      <w:r>
        <w:t>.</w:t>
      </w:r>
    </w:p>
    <w:p w:rsidR="006075B4" w:rsidRDefault="003C63AF">
      <w:pPr>
        <w:numPr>
          <w:ilvl w:val="1"/>
          <w:numId w:val="3"/>
        </w:numPr>
        <w:ind w:hanging="360"/>
      </w:pPr>
      <w:r>
        <w:t>Wnioski, dotyczące osób dorosłych, są przyjmowane do realizacji, według kolejności ich złożenia, aż do wyczerpania środków finansowych PFRON pozostałych na realizację zadania. Do realizacji przyjmowane są wnioski, których kwota wnioskowana nie przewyższa wysokości środków finansowych pozostałych na realizację zadania.</w:t>
      </w:r>
    </w:p>
    <w:p w:rsidR="006075B4" w:rsidRDefault="003C63AF">
      <w:pPr>
        <w:numPr>
          <w:ilvl w:val="1"/>
          <w:numId w:val="3"/>
        </w:numPr>
        <w:ind w:hanging="360"/>
      </w:pPr>
      <w:r>
        <w:t>O sposobie rozpatrzenia wniosku Wnioskodawca zostaje poinformowany pisemnie.</w:t>
      </w:r>
    </w:p>
    <w:p w:rsidR="006075B4" w:rsidRDefault="003C63AF">
      <w:pPr>
        <w:numPr>
          <w:ilvl w:val="1"/>
          <w:numId w:val="3"/>
        </w:numPr>
        <w:ind w:hanging="360"/>
      </w:pPr>
      <w:r>
        <w:t>Podstawę dofinansowania ze środków PFRON stanowi umowa o dofinansowanie.</w:t>
      </w:r>
    </w:p>
    <w:p w:rsidR="006075B4" w:rsidRDefault="003C63AF">
      <w:pPr>
        <w:numPr>
          <w:ilvl w:val="1"/>
          <w:numId w:val="3"/>
        </w:numPr>
        <w:ind w:hanging="360"/>
        <w:rPr>
          <w:color w:val="FF0000"/>
        </w:rPr>
      </w:pPr>
      <w:r>
        <w:t>Podpisanie umowy o dofinansowanie może być poprzedzone wizją lokalową dotyczy przede wszystkim dofinansowania schodołazów, krzeseł i wind schodowych.</w:t>
      </w:r>
    </w:p>
    <w:p w:rsidR="006075B4" w:rsidRDefault="003C63AF">
      <w:pPr>
        <w:numPr>
          <w:ilvl w:val="1"/>
          <w:numId w:val="3"/>
        </w:numPr>
        <w:ind w:hanging="360"/>
      </w:pPr>
      <w:r>
        <w:t>Środki finansowe PFRON przekazywane są zgodnie z warunkami określonymi w umowie o dofinansowanie.</w:t>
      </w:r>
    </w:p>
    <w:p w:rsidR="006075B4" w:rsidRDefault="003C63AF">
      <w:pPr>
        <w:numPr>
          <w:ilvl w:val="1"/>
          <w:numId w:val="3"/>
        </w:numPr>
        <w:ind w:hanging="360"/>
      </w:pPr>
      <w:r>
        <w:t>Dofinansowanie nie obejmuje kosztów realizacji zadania poniesionych przed przyznaniem środków finansowych i zawarciem umowy o dofinansowanie.</w:t>
      </w:r>
    </w:p>
    <w:p w:rsidR="006075B4" w:rsidRDefault="003C63AF">
      <w:pPr>
        <w:numPr>
          <w:ilvl w:val="1"/>
          <w:numId w:val="3"/>
        </w:numPr>
        <w:ind w:hanging="360"/>
      </w:pPr>
      <w:r>
        <w:t>Dokumenty związane z rozliczeniem dofinansowania podlegają weryfikacji pod względem zgodności z wnioskiem, zakresem zadania oraz podpisaną umową o dofinansowanie. Rozliczenie udzielonego dofinansowania może być poprzedzone wizją lokalową.</w:t>
      </w:r>
    </w:p>
    <w:p w:rsidR="006075B4" w:rsidRDefault="003C63AF">
      <w:pPr>
        <w:numPr>
          <w:ilvl w:val="1"/>
          <w:numId w:val="3"/>
        </w:numPr>
        <w:ind w:hanging="360"/>
      </w:pPr>
      <w:r>
        <w:lastRenderedPageBreak/>
        <w:t>Podanie we wniosku i w załącznikach do wniosku informacji niezgodnych z prawdą eliminuje wniosek z dalszego rozpatrywania.</w:t>
      </w:r>
    </w:p>
    <w:p w:rsidR="006075B4" w:rsidRDefault="003C63AF">
      <w:pPr>
        <w:numPr>
          <w:ilvl w:val="1"/>
          <w:numId w:val="3"/>
        </w:numPr>
        <w:ind w:hanging="360"/>
      </w:pPr>
      <w:r>
        <w:t>W przypadku zgonu lub rezygnacji wnioskodawcy z dofinansowania wniosek nie podlega dalszemu rozpatrywaniu. Do realizacji przyjmowany jest kolejny ze złożonych wniosków, a w przypadku niewystarczającej wysokości środków finansowych na jego realizację – ten, którego wysokość wnioskowanego dofinansowania umożliwia jego zrealizowanie.</w:t>
      </w:r>
    </w:p>
    <w:p w:rsidR="006075B4" w:rsidRDefault="003C63AF">
      <w:pPr>
        <w:numPr>
          <w:ilvl w:val="1"/>
          <w:numId w:val="3"/>
        </w:numPr>
        <w:spacing w:after="266"/>
        <w:ind w:hanging="360"/>
      </w:pPr>
      <w:r>
        <w:t xml:space="preserve">Wnioski niezrealizowane w danym roku kalendarzowym, np. ze względu na wyczerpanie środków finansowych przeznaczonych na realizację zadania, „nie przechodzą” na rok następny. </w:t>
      </w:r>
    </w:p>
    <w:p w:rsidR="006075B4" w:rsidRDefault="003C63AF">
      <w:pPr>
        <w:numPr>
          <w:ilvl w:val="0"/>
          <w:numId w:val="3"/>
        </w:numPr>
        <w:spacing w:after="248" w:line="264" w:lineRule="auto"/>
        <w:ind w:hanging="516"/>
        <w:jc w:val="left"/>
      </w:pPr>
      <w:r>
        <w:rPr>
          <w:b/>
        </w:rPr>
        <w:t>Wysokość dofinansowania</w:t>
      </w:r>
    </w:p>
    <w:p w:rsidR="006075B4" w:rsidRDefault="003C63AF">
      <w:pPr>
        <w:numPr>
          <w:ilvl w:val="1"/>
          <w:numId w:val="3"/>
        </w:numPr>
        <w:ind w:hanging="360"/>
      </w:pPr>
      <w:r>
        <w:t>We wszystkich realizowanych zadaniach, przyjęto dofinansowanie do likwidacji barier technicznych w wysokości do 80 % wartości sprzętu, nie więcej jednak niż do wysokości 15-krotnego przeciętnego wynagrodzenia.</w:t>
      </w:r>
    </w:p>
    <w:p w:rsidR="006075B4" w:rsidRDefault="003C63AF">
      <w:pPr>
        <w:numPr>
          <w:ilvl w:val="1"/>
          <w:numId w:val="3"/>
        </w:numPr>
        <w:ind w:hanging="360"/>
      </w:pPr>
      <w:r>
        <w:t>Propozycje wysokości kwot dofinansowania sprzętu stanowi załącznik nr 1 do niniejszych Zasad.</w:t>
      </w:r>
    </w:p>
    <w:p w:rsidR="006075B4" w:rsidRDefault="003C63AF">
      <w:pPr>
        <w:numPr>
          <w:ilvl w:val="1"/>
          <w:numId w:val="3"/>
        </w:numPr>
        <w:spacing w:after="266"/>
        <w:ind w:hanging="360"/>
      </w:pPr>
      <w:r>
        <w:t>Wysokość dofinansowania do pozostałych sprzętów nie ujętych w Wykazie przyznawana jest zgodnie z rozdziałem III pkt 1.</w:t>
      </w:r>
    </w:p>
    <w:p w:rsidR="006075B4" w:rsidRDefault="003C63AF">
      <w:pPr>
        <w:numPr>
          <w:ilvl w:val="0"/>
          <w:numId w:val="3"/>
        </w:numPr>
        <w:spacing w:after="251" w:line="264" w:lineRule="auto"/>
        <w:ind w:hanging="516"/>
        <w:jc w:val="left"/>
      </w:pPr>
      <w:r>
        <w:rPr>
          <w:b/>
        </w:rPr>
        <w:t>Wykaz sprzętów objętych dofinansowaniem ze środków PFRON w ramach likwidacji barier technicznych</w:t>
      </w:r>
    </w:p>
    <w:p w:rsidR="006075B4" w:rsidRDefault="003C63AF">
      <w:pPr>
        <w:spacing w:after="266"/>
      </w:pPr>
      <w:r>
        <w:t xml:space="preserve">Wykaz urządzeń, jakie mogą być objęte dofinansowaniem do likwidacji barier technicznych na wniosek osoby niepełnosprawnej stanowi załącznik nr 1 do niniejszych Zasad. Wykaz ma charakter „otwarty” co oznacza, że możliwym jest dofinansowanie sprzętu innego, niż wymienione w Wykazie, w zależności od potrzeb wnioskodawcy, wynikających z niepełnosprawności. </w:t>
      </w:r>
    </w:p>
    <w:p w:rsidR="006075B4" w:rsidRDefault="003C63AF">
      <w:pPr>
        <w:numPr>
          <w:ilvl w:val="0"/>
          <w:numId w:val="3"/>
        </w:numPr>
        <w:spacing w:after="248" w:line="264" w:lineRule="auto"/>
        <w:ind w:hanging="516"/>
        <w:jc w:val="left"/>
      </w:pPr>
      <w:r>
        <w:rPr>
          <w:b/>
        </w:rPr>
        <w:t>Podstawa prawna</w:t>
      </w:r>
    </w:p>
    <w:p w:rsidR="006075B4" w:rsidRDefault="003C63AF">
      <w:pPr>
        <w:numPr>
          <w:ilvl w:val="1"/>
          <w:numId w:val="3"/>
        </w:numPr>
        <w:ind w:hanging="360"/>
      </w:pPr>
      <w:r>
        <w:t>ustawa z dnia 27 sierpnia 1997 r. o rehabilitacji zawodowej i społecznej oraz zatrudnianiu osób niepełnosprawnych (</w:t>
      </w:r>
      <w:r>
        <w:rPr>
          <w:shd w:val="clear" w:color="auto" w:fill="FAFAFA"/>
        </w:rPr>
        <w:t>Dz. U. 2021 poz. 573)</w:t>
      </w:r>
      <w:r>
        <w:t>;</w:t>
      </w:r>
    </w:p>
    <w:p w:rsidR="006075B4" w:rsidRDefault="003C63AF">
      <w:pPr>
        <w:numPr>
          <w:ilvl w:val="1"/>
          <w:numId w:val="3"/>
        </w:numPr>
        <w:ind w:hanging="360"/>
      </w:pPr>
      <w:r>
        <w:t>Rozporządzenie Ministra Pracy i Polityki Społecznej z dnia 25 czerwca 2002 r. w sprawie określenia rodzajów zadań powiatu, które mogą być finansowane ze środków Państwowego Funduszu Rehabilitacji Osób Niepełnosprawnych [tekst jednolity: Dz. U. z 2015 r., poz. 926].</w:t>
      </w:r>
    </w:p>
    <w:p w:rsidR="006075B4" w:rsidRDefault="006075B4">
      <w:pPr>
        <w:spacing w:after="248" w:line="264" w:lineRule="auto"/>
        <w:ind w:left="-5"/>
        <w:jc w:val="left"/>
        <w:rPr>
          <w:b/>
        </w:rPr>
      </w:pPr>
    </w:p>
    <w:p w:rsidR="006075B4" w:rsidRDefault="006075B4">
      <w:pPr>
        <w:spacing w:after="248" w:line="264" w:lineRule="auto"/>
        <w:ind w:left="-5"/>
        <w:jc w:val="left"/>
        <w:rPr>
          <w:b/>
        </w:rPr>
      </w:pPr>
    </w:p>
    <w:p w:rsidR="006075B4" w:rsidRDefault="006075B4">
      <w:pPr>
        <w:spacing w:after="248" w:line="264" w:lineRule="auto"/>
        <w:ind w:left="-5"/>
        <w:jc w:val="left"/>
        <w:rPr>
          <w:b/>
        </w:rPr>
      </w:pPr>
    </w:p>
    <w:p w:rsidR="006075B4" w:rsidRDefault="006075B4">
      <w:pPr>
        <w:spacing w:after="248" w:line="264" w:lineRule="auto"/>
        <w:ind w:left="-5"/>
        <w:jc w:val="left"/>
        <w:rPr>
          <w:b/>
        </w:rPr>
      </w:pPr>
    </w:p>
    <w:p w:rsidR="006075B4" w:rsidRDefault="006075B4">
      <w:pPr>
        <w:spacing w:after="248" w:line="264" w:lineRule="auto"/>
        <w:ind w:left="-5"/>
        <w:jc w:val="left"/>
        <w:rPr>
          <w:b/>
          <w:strike/>
          <w:color w:val="C9211E"/>
        </w:rPr>
      </w:pPr>
    </w:p>
    <w:p w:rsidR="006075B4" w:rsidRDefault="006075B4">
      <w:pPr>
        <w:spacing w:after="248" w:line="264" w:lineRule="auto"/>
        <w:ind w:left="-5"/>
        <w:jc w:val="left"/>
        <w:rPr>
          <w:b/>
          <w:strike/>
          <w:color w:val="C9211E"/>
        </w:rPr>
      </w:pPr>
    </w:p>
    <w:p w:rsidR="006075B4" w:rsidRDefault="006075B4">
      <w:pPr>
        <w:spacing w:after="248" w:line="264" w:lineRule="auto"/>
        <w:ind w:left="-5"/>
        <w:jc w:val="left"/>
        <w:rPr>
          <w:b/>
        </w:rPr>
      </w:pPr>
    </w:p>
    <w:p w:rsidR="003C63AF" w:rsidRDefault="003C63AF">
      <w:pPr>
        <w:spacing w:after="248" w:line="264" w:lineRule="auto"/>
        <w:ind w:left="-5"/>
        <w:jc w:val="left"/>
        <w:rPr>
          <w:b/>
        </w:rPr>
      </w:pPr>
    </w:p>
    <w:p w:rsidR="003C63AF" w:rsidRDefault="003C63AF">
      <w:pPr>
        <w:spacing w:after="248" w:line="264" w:lineRule="auto"/>
        <w:ind w:left="-5"/>
        <w:jc w:val="left"/>
        <w:rPr>
          <w:b/>
        </w:rPr>
      </w:pPr>
    </w:p>
    <w:p w:rsidR="006075B4" w:rsidRDefault="003C63AF">
      <w:pPr>
        <w:spacing w:after="248" w:line="264" w:lineRule="auto"/>
        <w:ind w:left="-5"/>
        <w:jc w:val="left"/>
        <w:rPr>
          <w:b/>
        </w:rPr>
      </w:pPr>
      <w:r>
        <w:rPr>
          <w:b/>
        </w:rPr>
        <w:lastRenderedPageBreak/>
        <w:t xml:space="preserve">ZAŁĄCZNIK 1 </w:t>
      </w:r>
    </w:p>
    <w:p w:rsidR="004014A4" w:rsidRPr="00733E6C" w:rsidRDefault="004014A4" w:rsidP="004014A4">
      <w:pPr>
        <w:spacing w:after="0" w:line="240" w:lineRule="auto"/>
        <w:ind w:left="0" w:firstLine="0"/>
        <w:jc w:val="center"/>
        <w:rPr>
          <w:szCs w:val="24"/>
        </w:rPr>
      </w:pPr>
      <w:r w:rsidRPr="00733E6C">
        <w:rPr>
          <w:rFonts w:ascii="Times New Roman" w:eastAsia="Times New Roman" w:hAnsi="Times New Roman" w:cs="Times New Roman"/>
          <w:b/>
          <w:szCs w:val="24"/>
        </w:rPr>
        <w:t>Wykaz sprzętu i maksymalnych kwot dofinansowania w ramach likwidacji barier technicznych i w komunikowaniu się</w:t>
      </w:r>
    </w:p>
    <w:p w:rsidR="004014A4" w:rsidRDefault="004014A4" w:rsidP="004014A4"/>
    <w:p w:rsidR="004014A4" w:rsidRDefault="004014A4" w:rsidP="004014A4">
      <w:pPr>
        <w:ind w:left="0" w:firstLine="0"/>
      </w:pPr>
    </w:p>
    <w:tbl>
      <w:tblPr>
        <w:tblW w:w="9642" w:type="dxa"/>
        <w:tblCellMar>
          <w:top w:w="55" w:type="dxa"/>
          <w:left w:w="55" w:type="dxa"/>
          <w:bottom w:w="55" w:type="dxa"/>
          <w:right w:w="55" w:type="dxa"/>
        </w:tblCellMar>
        <w:tblLook w:val="04A0" w:firstRow="1" w:lastRow="0" w:firstColumn="1" w:lastColumn="0" w:noHBand="0" w:noVBand="1"/>
      </w:tblPr>
      <w:tblGrid>
        <w:gridCol w:w="979"/>
        <w:gridCol w:w="3694"/>
        <w:gridCol w:w="3485"/>
        <w:gridCol w:w="1484"/>
      </w:tblGrid>
      <w:tr w:rsidR="004014A4" w:rsidTr="00810F9A">
        <w:tc>
          <w:tcPr>
            <w:tcW w:w="979" w:type="dxa"/>
            <w:tcBorders>
              <w:top w:val="single" w:sz="4" w:space="0" w:color="000000"/>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 w:val="20"/>
                <w:szCs w:val="20"/>
              </w:rPr>
            </w:pPr>
            <w:proofErr w:type="spellStart"/>
            <w:r w:rsidRPr="007E76BB">
              <w:rPr>
                <w:rFonts w:ascii="Times New Roman" w:eastAsia="Times New Roman" w:hAnsi="Times New Roman" w:cs="Times New Roman"/>
                <w:b/>
                <w:sz w:val="20"/>
                <w:szCs w:val="20"/>
              </w:rPr>
              <w:t>L.p</w:t>
            </w:r>
            <w:proofErr w:type="spellEnd"/>
          </w:p>
        </w:tc>
        <w:tc>
          <w:tcPr>
            <w:tcW w:w="3694" w:type="dxa"/>
            <w:tcBorders>
              <w:top w:val="single" w:sz="4" w:space="0" w:color="000000"/>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 w:val="20"/>
                <w:szCs w:val="20"/>
              </w:rPr>
            </w:pPr>
            <w:r w:rsidRPr="007E76BB">
              <w:rPr>
                <w:rFonts w:ascii="Times New Roman" w:eastAsia="Times New Roman" w:hAnsi="Times New Roman" w:cs="Times New Roman"/>
                <w:b/>
                <w:sz w:val="20"/>
                <w:szCs w:val="20"/>
              </w:rPr>
              <w:t>Nazwa sprzętu</w:t>
            </w:r>
          </w:p>
        </w:tc>
        <w:tc>
          <w:tcPr>
            <w:tcW w:w="3485" w:type="dxa"/>
            <w:tcBorders>
              <w:top w:val="single" w:sz="4" w:space="0" w:color="000000"/>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 w:val="20"/>
                <w:szCs w:val="20"/>
              </w:rPr>
            </w:pPr>
            <w:r w:rsidRPr="007E76BB">
              <w:rPr>
                <w:rFonts w:ascii="Times New Roman" w:eastAsia="Times New Roman" w:hAnsi="Times New Roman" w:cs="Times New Roman"/>
                <w:b/>
                <w:sz w:val="20"/>
                <w:szCs w:val="20"/>
              </w:rPr>
              <w:t>Dofinansowanie</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 w:val="20"/>
                <w:szCs w:val="20"/>
              </w:rPr>
            </w:pPr>
            <w:r w:rsidRPr="007E76BB">
              <w:rPr>
                <w:rFonts w:ascii="Times New Roman" w:eastAsia="Times New Roman" w:hAnsi="Times New Roman" w:cs="Times New Roman"/>
                <w:b/>
                <w:sz w:val="20"/>
                <w:szCs w:val="20"/>
              </w:rPr>
              <w:t>Maksymalne dofinansowanie</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Zestaw komputerowy (monitor, jednostka centralna, klawiatura, mysz, kamera) lub laptop</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jednak nie więcej niż 2.000 zł – dla osób niesłyszących lub słabo słyszących z lekkim stopniem lub seniorzy</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2.000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2</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Tablet</w:t>
            </w:r>
          </w:p>
        </w:tc>
        <w:tc>
          <w:tcPr>
            <w:tcW w:w="3485" w:type="dxa"/>
            <w:tcBorders>
              <w:left w:val="single" w:sz="4" w:space="0" w:color="000000"/>
              <w:bottom w:val="single" w:sz="4" w:space="0" w:color="000000"/>
            </w:tcBorders>
            <w:shd w:val="clear" w:color="auto" w:fill="auto"/>
            <w:vAlign w:val="center"/>
          </w:tcPr>
          <w:p w:rsidR="004014A4"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80% - dla osób niesłyszących lub </w:t>
            </w:r>
            <w:proofErr w:type="spellStart"/>
            <w:r>
              <w:rPr>
                <w:rFonts w:ascii="Times New Roman" w:eastAsia="Times New Roman" w:hAnsi="Times New Roman" w:cs="Times New Roman"/>
                <w:szCs w:val="24"/>
              </w:rPr>
              <w:t>słabosłyszcych</w:t>
            </w:r>
            <w:proofErr w:type="spellEnd"/>
            <w:r>
              <w:rPr>
                <w:rFonts w:ascii="Times New Roman" w:eastAsia="Times New Roman" w:hAnsi="Times New Roman" w:cs="Times New Roman"/>
                <w:szCs w:val="24"/>
              </w:rPr>
              <w:t xml:space="preserve"> (</w:t>
            </w:r>
            <w:r w:rsidRPr="007E76BB">
              <w:rPr>
                <w:rFonts w:ascii="Times New Roman" w:eastAsia="Times New Roman" w:hAnsi="Times New Roman" w:cs="Times New Roman"/>
                <w:szCs w:val="24"/>
              </w:rPr>
              <w:t>zamiennie do zestawu komputerowego)</w:t>
            </w:r>
          </w:p>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dla osób z dysfunkcją wzroku (zamiennie z telefonem dotykowym)</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1.200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3</w:t>
            </w:r>
          </w:p>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proofErr w:type="spellStart"/>
            <w:r w:rsidRPr="007E76BB">
              <w:rPr>
                <w:rFonts w:ascii="Times New Roman" w:eastAsia="Times New Roman" w:hAnsi="Times New Roman" w:cs="Times New Roman"/>
                <w:szCs w:val="24"/>
              </w:rPr>
              <w:t>Mówiki</w:t>
            </w:r>
            <w:proofErr w:type="spellEnd"/>
            <w:r w:rsidRPr="007E76BB">
              <w:rPr>
                <w:rFonts w:ascii="Times New Roman" w:eastAsia="Times New Roman" w:hAnsi="Times New Roman" w:cs="Times New Roman"/>
                <w:szCs w:val="24"/>
              </w:rPr>
              <w:t>, tablet ze specjalistycznym oprogramowaniem do alternatywnej komunikacji</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dla dzieci</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bez ograniczenia kwoty</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4</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Specjalistyczne oprogramowanie</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bez ograniczenia kwoty</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5</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Zestaw wspomagający odbiór TV (np. RADIOLIGHT lub inny)</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 dla osób problemy ze słuchem</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1.000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6</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Budzik wibrujący, głośnomówiący bądź brajlowski</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400 zł </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7</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proofErr w:type="spellStart"/>
            <w:r w:rsidRPr="007E76BB">
              <w:rPr>
                <w:rFonts w:ascii="Times New Roman" w:eastAsia="Times New Roman" w:hAnsi="Times New Roman" w:cs="Times New Roman"/>
                <w:szCs w:val="24"/>
              </w:rPr>
              <w:t>Czytak</w:t>
            </w:r>
            <w:proofErr w:type="spellEnd"/>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dla seniorów oraz dzieci niekwalifikujących się w AS</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1.600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8</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Domowa pętla indukcyjna (np. </w:t>
            </w:r>
            <w:proofErr w:type="spellStart"/>
            <w:r w:rsidRPr="007E76BB">
              <w:rPr>
                <w:rFonts w:ascii="Times New Roman" w:eastAsia="Times New Roman" w:hAnsi="Times New Roman" w:cs="Times New Roman"/>
                <w:szCs w:val="24"/>
              </w:rPr>
              <w:t>audioasystent</w:t>
            </w:r>
            <w:proofErr w:type="spellEnd"/>
            <w:r w:rsidRPr="007E76BB">
              <w:rPr>
                <w:rFonts w:ascii="Times New Roman" w:eastAsia="Times New Roman" w:hAnsi="Times New Roman" w:cs="Times New Roman"/>
                <w:szCs w:val="24"/>
              </w:rPr>
              <w:t>, mata indukcyjna, kabel do zestawu)</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1400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9</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Dyktafon</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200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10</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Kalkulator mówiący</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240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11</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Odbiornik świetlny dla osób z dysfunkcją narządu słuchu</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12</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Nadajniki na drzwi dla osób z dysfunkcja narządu słuchu. </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13</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Odtwarzacz CD, MP3 z radiem</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300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14</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Systemy wspomagające odbiór dźwięków w aparacie słuchowym</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1500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15</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Powiększalnik</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15000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16</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Syntezator mowy</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800 zł</w:t>
            </w:r>
          </w:p>
        </w:tc>
      </w:tr>
      <w:tr w:rsidR="004014A4" w:rsidRPr="007E76BB" w:rsidTr="00810F9A">
        <w:tc>
          <w:tcPr>
            <w:tcW w:w="979" w:type="dxa"/>
            <w:tcBorders>
              <w:left w:val="single" w:sz="4" w:space="0" w:color="000000"/>
              <w:bottom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17</w:t>
            </w:r>
          </w:p>
        </w:tc>
        <w:tc>
          <w:tcPr>
            <w:tcW w:w="3694" w:type="dxa"/>
            <w:tcBorders>
              <w:left w:val="single" w:sz="4" w:space="0" w:color="000000"/>
              <w:bottom w:val="single" w:sz="4" w:space="0" w:color="auto"/>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Termometr mówiący</w:t>
            </w:r>
          </w:p>
        </w:tc>
        <w:tc>
          <w:tcPr>
            <w:tcW w:w="3485" w:type="dxa"/>
            <w:tcBorders>
              <w:left w:val="single" w:sz="4" w:space="0" w:color="000000"/>
              <w:bottom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auto"/>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160 zł</w:t>
            </w:r>
          </w:p>
        </w:tc>
      </w:tr>
      <w:tr w:rsidR="004014A4" w:rsidRPr="007E76BB" w:rsidTr="00810F9A">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p>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18</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Udźwiękowiony tester baterii np. </w:t>
            </w:r>
            <w:proofErr w:type="spellStart"/>
            <w:r w:rsidRPr="007E76BB">
              <w:rPr>
                <w:rFonts w:ascii="Times New Roman" w:eastAsia="Times New Roman" w:hAnsi="Times New Roman" w:cs="Times New Roman"/>
                <w:szCs w:val="24"/>
              </w:rPr>
              <w:t>Woofy</w:t>
            </w:r>
            <w:proofErr w:type="spellEnd"/>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300 zł</w:t>
            </w:r>
          </w:p>
        </w:tc>
      </w:tr>
      <w:tr w:rsidR="004014A4" w:rsidRPr="007E76BB" w:rsidTr="00810F9A">
        <w:tc>
          <w:tcPr>
            <w:tcW w:w="979" w:type="dxa"/>
            <w:tcBorders>
              <w:top w:val="single" w:sz="4" w:space="0" w:color="auto"/>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19</w:t>
            </w:r>
          </w:p>
        </w:tc>
        <w:tc>
          <w:tcPr>
            <w:tcW w:w="3694" w:type="dxa"/>
            <w:tcBorders>
              <w:top w:val="single" w:sz="4" w:space="0" w:color="auto"/>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Urządzenie czytające na głos tekst drukowany np. AUTOLEKTOR</w:t>
            </w:r>
          </w:p>
        </w:tc>
        <w:tc>
          <w:tcPr>
            <w:tcW w:w="3485" w:type="dxa"/>
            <w:tcBorders>
              <w:top w:val="single" w:sz="4" w:space="0" w:color="auto"/>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top w:val="single" w:sz="4" w:space="0" w:color="auto"/>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10.500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20</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Urządzenie rozpoznające kolory (COLORINO, COLOR TEST, MEMO)</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1.300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21</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VIDEODOMOFON</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dla osób słabo słyszących, stopień lekki</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22</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Waga łazienkowa mówiąca</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szCs w:val="24"/>
              </w:rPr>
            </w:pPr>
            <w:r w:rsidRPr="007E76BB">
              <w:rPr>
                <w:rFonts w:ascii="Times New Roman" w:eastAsia="Times New Roman" w:hAnsi="Times New Roman" w:cs="Times New Roman"/>
                <w:szCs w:val="24"/>
              </w:rPr>
              <w:t>200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23</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Zegarek wibracyjny, głośnomówiący bądź brajlowski</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dla osób niekwalifikujących się w AS, stopień lekki</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400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szCs w:val="24"/>
              </w:rPr>
            </w:pPr>
            <w:r w:rsidRPr="007E76BB">
              <w:rPr>
                <w:rFonts w:ascii="Times New Roman" w:eastAsia="Times New Roman" w:hAnsi="Times New Roman" w:cs="Times New Roman"/>
                <w:b/>
                <w:szCs w:val="24"/>
              </w:rPr>
              <w:t>24</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Telefon</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jednak nie więcej niż 1800 zł.</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1800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25</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Dodatkowe oświetlenie (lampka na biurko, lampa stojąca, kinkiet, listwa kuchenna)</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330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hAnsi="Times New Roman"/>
                <w:b/>
                <w:bCs/>
                <w:szCs w:val="24"/>
              </w:rPr>
            </w:pPr>
            <w:r w:rsidRPr="007E76BB">
              <w:rPr>
                <w:rFonts w:ascii="Times New Roman" w:eastAsia="Times New Roman" w:hAnsi="Times New Roman" w:cs="Times New Roman"/>
                <w:b/>
                <w:bCs/>
                <w:szCs w:val="24"/>
              </w:rPr>
              <w:t>26</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Krzesełko prysznicowe mocowane do ściany</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500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27</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Krzesełko prysznicowe wstawiane</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120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28</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Nakładka </w:t>
            </w:r>
            <w:proofErr w:type="spellStart"/>
            <w:r w:rsidRPr="007E76BB">
              <w:rPr>
                <w:rFonts w:ascii="Times New Roman" w:eastAsia="Times New Roman" w:hAnsi="Times New Roman" w:cs="Times New Roman"/>
                <w:szCs w:val="24"/>
              </w:rPr>
              <w:t>nawannowa</w:t>
            </w:r>
            <w:proofErr w:type="spellEnd"/>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170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29</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Nakładka, nadstawka podwyższająca miskę ustępową</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280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30</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Podnośnik sufitowy (szyny, złączki, podnośnik, szelki transportowe)</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Wyceniany indywidualnie</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31</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Podnośnik transportowo-kąpielowy z pilotem</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3900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32</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Nosidło (szelki, siedzisko)</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2000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33</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Podnośnik </w:t>
            </w:r>
            <w:proofErr w:type="spellStart"/>
            <w:r w:rsidRPr="007E76BB">
              <w:rPr>
                <w:rFonts w:ascii="Times New Roman" w:eastAsia="Times New Roman" w:hAnsi="Times New Roman" w:cs="Times New Roman"/>
                <w:szCs w:val="24"/>
              </w:rPr>
              <w:t>wewnątrzwannowy</w:t>
            </w:r>
            <w:proofErr w:type="spellEnd"/>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2300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34</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48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Fotelik samochodowy terapeutyczny</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dla dzieci z problemami neurologicznymi, a także z problemami ruchowymi niekwalifikujących się w AS</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p>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p>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5200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35</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proofErr w:type="spellStart"/>
            <w:r w:rsidRPr="007E76BB">
              <w:rPr>
                <w:rFonts w:ascii="Times New Roman" w:eastAsia="Times New Roman" w:hAnsi="Times New Roman" w:cs="Times New Roman"/>
                <w:szCs w:val="24"/>
              </w:rPr>
              <w:t>Schodołaz</w:t>
            </w:r>
            <w:proofErr w:type="spellEnd"/>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80% dofinansowania, </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p>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13000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36</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Siedzisko wannowe obrotowe</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600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37</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Uchwyty ścienne</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300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38</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Wózek toaletowo- prysznicowy</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1900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39</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proofErr w:type="spellStart"/>
            <w:r w:rsidRPr="007E76BB">
              <w:rPr>
                <w:rFonts w:ascii="Times New Roman" w:eastAsia="Times New Roman" w:hAnsi="Times New Roman" w:cs="Times New Roman"/>
                <w:szCs w:val="24"/>
              </w:rPr>
              <w:t>Biobidet</w:t>
            </w:r>
            <w:proofErr w:type="spellEnd"/>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80% dofinansowania </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2.500 zł</w:t>
            </w:r>
          </w:p>
        </w:tc>
      </w:tr>
      <w:tr w:rsidR="004014A4" w:rsidRPr="007E76BB" w:rsidTr="00810F9A">
        <w:tc>
          <w:tcPr>
            <w:tcW w:w="979"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40</w:t>
            </w:r>
          </w:p>
        </w:tc>
        <w:tc>
          <w:tcPr>
            <w:tcW w:w="3694"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Leżak kąpielowy</w:t>
            </w:r>
          </w:p>
        </w:tc>
        <w:tc>
          <w:tcPr>
            <w:tcW w:w="3485" w:type="dxa"/>
            <w:tcBorders>
              <w:left w:val="single" w:sz="4" w:space="0" w:color="000000"/>
              <w:bottom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000000"/>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900 zł</w:t>
            </w:r>
          </w:p>
        </w:tc>
      </w:tr>
      <w:tr w:rsidR="004014A4" w:rsidRPr="007E76BB" w:rsidTr="00810F9A">
        <w:tc>
          <w:tcPr>
            <w:tcW w:w="979" w:type="dxa"/>
            <w:tcBorders>
              <w:left w:val="single" w:sz="4" w:space="0" w:color="000000"/>
              <w:bottom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t>41</w:t>
            </w:r>
          </w:p>
        </w:tc>
        <w:tc>
          <w:tcPr>
            <w:tcW w:w="3694" w:type="dxa"/>
            <w:tcBorders>
              <w:left w:val="single" w:sz="4" w:space="0" w:color="000000"/>
              <w:bottom w:val="single" w:sz="4" w:space="0" w:color="auto"/>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Zmywarka</w:t>
            </w:r>
          </w:p>
        </w:tc>
        <w:tc>
          <w:tcPr>
            <w:tcW w:w="3485" w:type="dxa"/>
            <w:tcBorders>
              <w:left w:val="single" w:sz="4" w:space="0" w:color="000000"/>
              <w:bottom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left w:val="single" w:sz="4" w:space="0" w:color="000000"/>
              <w:bottom w:val="single" w:sz="4" w:space="0" w:color="auto"/>
              <w:right w:val="single" w:sz="4" w:space="0" w:color="000000"/>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1.000 zł </w:t>
            </w:r>
          </w:p>
        </w:tc>
      </w:tr>
      <w:tr w:rsidR="004014A4" w:rsidRPr="007E76BB" w:rsidTr="00810F9A">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b/>
                <w:bCs/>
                <w:szCs w:val="24"/>
              </w:rPr>
            </w:pPr>
            <w:r w:rsidRPr="007E76BB">
              <w:rPr>
                <w:rFonts w:ascii="Times New Roman" w:eastAsia="Times New Roman" w:hAnsi="Times New Roman" w:cs="Times New Roman"/>
                <w:b/>
                <w:bCs/>
                <w:szCs w:val="24"/>
              </w:rPr>
              <w:lastRenderedPageBreak/>
              <w:t>42</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left"/>
              <w:rPr>
                <w:rFonts w:ascii="Times New Roman" w:eastAsia="Times New Roman" w:hAnsi="Times New Roman" w:cs="Times New Roman"/>
                <w:szCs w:val="24"/>
              </w:rPr>
            </w:pPr>
            <w:r w:rsidRPr="007E76BB">
              <w:rPr>
                <w:rFonts w:ascii="Times New Roman" w:eastAsia="Times New Roman" w:hAnsi="Times New Roman" w:cs="Times New Roman"/>
                <w:szCs w:val="24"/>
              </w:rPr>
              <w:t>Odkurzacz sprzątający</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 dla osób niewidomych mieszkających samotnie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p>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p>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 xml:space="preserve"> 1.000 zł</w:t>
            </w:r>
          </w:p>
        </w:tc>
      </w:tr>
      <w:tr w:rsidR="004014A4" w:rsidRPr="007E76BB" w:rsidTr="00810F9A">
        <w:tc>
          <w:tcPr>
            <w:tcW w:w="979" w:type="dxa"/>
            <w:tcBorders>
              <w:top w:val="single" w:sz="4" w:space="0" w:color="auto"/>
              <w:left w:val="single" w:sz="4" w:space="0" w:color="000000"/>
              <w:bottom w:val="single" w:sz="4" w:space="0" w:color="000000"/>
            </w:tcBorders>
            <w:shd w:val="clear" w:color="auto" w:fill="auto"/>
            <w:vAlign w:val="center"/>
          </w:tcPr>
          <w:p w:rsidR="004014A4" w:rsidRPr="007E76BB" w:rsidRDefault="004014A4" w:rsidP="00810F9A">
            <w:pPr>
              <w:pStyle w:val="Zawartotabeli"/>
              <w:jc w:val="center"/>
              <w:rPr>
                <w:rFonts w:ascii="Times New Roman" w:hAnsi="Times New Roman"/>
                <w:b/>
                <w:bCs/>
                <w:szCs w:val="24"/>
              </w:rPr>
            </w:pPr>
            <w:r w:rsidRPr="007E76BB">
              <w:rPr>
                <w:rFonts w:ascii="Times New Roman" w:hAnsi="Times New Roman"/>
                <w:b/>
                <w:bCs/>
                <w:szCs w:val="24"/>
              </w:rPr>
              <w:t>43</w:t>
            </w:r>
          </w:p>
        </w:tc>
        <w:tc>
          <w:tcPr>
            <w:tcW w:w="3694" w:type="dxa"/>
            <w:tcBorders>
              <w:top w:val="single" w:sz="4" w:space="0" w:color="auto"/>
              <w:left w:val="single" w:sz="4" w:space="0" w:color="000000"/>
              <w:bottom w:val="single" w:sz="4" w:space="0" w:color="000000"/>
            </w:tcBorders>
            <w:shd w:val="clear" w:color="auto" w:fill="auto"/>
          </w:tcPr>
          <w:p w:rsidR="004014A4" w:rsidRPr="007E76BB" w:rsidRDefault="004014A4" w:rsidP="00810F9A">
            <w:pPr>
              <w:pStyle w:val="Zawartotabeli"/>
              <w:jc w:val="left"/>
              <w:rPr>
                <w:rFonts w:ascii="Times New Roman" w:hAnsi="Times New Roman"/>
                <w:szCs w:val="24"/>
              </w:rPr>
            </w:pPr>
            <w:r w:rsidRPr="007E76BB">
              <w:rPr>
                <w:rFonts w:ascii="Times New Roman" w:hAnsi="Times New Roman"/>
                <w:szCs w:val="24"/>
              </w:rPr>
              <w:t>Szyny najazdowe</w:t>
            </w:r>
          </w:p>
        </w:tc>
        <w:tc>
          <w:tcPr>
            <w:tcW w:w="3485" w:type="dxa"/>
            <w:tcBorders>
              <w:top w:val="single" w:sz="4" w:space="0" w:color="auto"/>
              <w:left w:val="single" w:sz="4" w:space="0" w:color="000000"/>
              <w:bottom w:val="single" w:sz="4" w:space="0" w:color="000000"/>
            </w:tcBorders>
            <w:shd w:val="clear" w:color="auto" w:fill="auto"/>
          </w:tcPr>
          <w:p w:rsidR="004014A4" w:rsidRPr="007E76BB" w:rsidRDefault="004014A4" w:rsidP="00810F9A">
            <w:pPr>
              <w:spacing w:after="0" w:line="240" w:lineRule="auto"/>
              <w:ind w:left="0" w:firstLine="0"/>
              <w:jc w:val="center"/>
              <w:rPr>
                <w:rFonts w:ascii="Times New Roman" w:eastAsia="Times New Roman" w:hAnsi="Times New Roman" w:cs="Times New Roman"/>
                <w:szCs w:val="24"/>
              </w:rPr>
            </w:pPr>
            <w:r w:rsidRPr="007E76BB">
              <w:rPr>
                <w:rFonts w:ascii="Times New Roman" w:eastAsia="Times New Roman" w:hAnsi="Times New Roman" w:cs="Times New Roman"/>
                <w:szCs w:val="24"/>
              </w:rPr>
              <w:t>80% dofinansowania</w:t>
            </w:r>
          </w:p>
        </w:tc>
        <w:tc>
          <w:tcPr>
            <w:tcW w:w="1484" w:type="dxa"/>
            <w:tcBorders>
              <w:top w:val="single" w:sz="4" w:space="0" w:color="auto"/>
              <w:left w:val="single" w:sz="4" w:space="0" w:color="000000"/>
              <w:bottom w:val="single" w:sz="4" w:space="0" w:color="000000"/>
              <w:right w:val="single" w:sz="4" w:space="0" w:color="000000"/>
            </w:tcBorders>
            <w:shd w:val="clear" w:color="auto" w:fill="auto"/>
          </w:tcPr>
          <w:p w:rsidR="004014A4" w:rsidRPr="007E76BB" w:rsidRDefault="004014A4" w:rsidP="00810F9A">
            <w:pPr>
              <w:pStyle w:val="Zawartotabeli"/>
              <w:jc w:val="center"/>
              <w:rPr>
                <w:rFonts w:ascii="Times New Roman" w:hAnsi="Times New Roman"/>
                <w:szCs w:val="24"/>
              </w:rPr>
            </w:pPr>
            <w:r w:rsidRPr="007E76BB">
              <w:rPr>
                <w:rFonts w:ascii="Times New Roman" w:hAnsi="Times New Roman"/>
                <w:szCs w:val="24"/>
              </w:rPr>
              <w:t>2.100 zł</w:t>
            </w:r>
          </w:p>
        </w:tc>
      </w:tr>
    </w:tbl>
    <w:p w:rsidR="004014A4" w:rsidRPr="007E76BB" w:rsidRDefault="004014A4" w:rsidP="004014A4">
      <w:pPr>
        <w:spacing w:after="248" w:line="264" w:lineRule="auto"/>
        <w:ind w:left="-5"/>
        <w:jc w:val="left"/>
        <w:rPr>
          <w:color w:val="FF0000"/>
          <w:szCs w:val="24"/>
        </w:rPr>
      </w:pPr>
    </w:p>
    <w:p w:rsidR="004014A4" w:rsidRPr="007E76BB" w:rsidRDefault="004014A4" w:rsidP="004014A4">
      <w:pPr>
        <w:spacing w:after="0" w:line="259" w:lineRule="auto"/>
        <w:ind w:left="-13" w:right="-748" w:firstLine="0"/>
        <w:jc w:val="left"/>
        <w:rPr>
          <w:szCs w:val="24"/>
        </w:rPr>
      </w:pPr>
    </w:p>
    <w:p w:rsidR="004014A4" w:rsidRDefault="004014A4">
      <w:pPr>
        <w:spacing w:after="248" w:line="264" w:lineRule="auto"/>
        <w:ind w:left="-5"/>
        <w:jc w:val="left"/>
        <w:rPr>
          <w:color w:val="FF0000"/>
        </w:rPr>
      </w:pPr>
      <w:bookmarkStart w:id="0" w:name="_GoBack"/>
      <w:bookmarkEnd w:id="0"/>
    </w:p>
    <w:sectPr w:rsidR="004014A4">
      <w:pgSz w:w="11906" w:h="16838"/>
      <w:pgMar w:top="1118" w:right="1128" w:bottom="1088" w:left="1136"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5F8"/>
    <w:multiLevelType w:val="multilevel"/>
    <w:tmpl w:val="6734CDEE"/>
    <w:lvl w:ilvl="0">
      <w:start w:val="1"/>
      <w:numFmt w:val="decimal"/>
      <w:lvlText w:val="%1"/>
      <w:lvlJc w:val="left"/>
      <w:pPr>
        <w:ind w:left="360"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1" w15:restartNumberingAfterBreak="0">
    <w:nsid w:val="0ED774A3"/>
    <w:multiLevelType w:val="multilevel"/>
    <w:tmpl w:val="B6D24C3C"/>
    <w:lvl w:ilvl="0">
      <w:start w:val="1"/>
      <w:numFmt w:val="upperRoman"/>
      <w:lvlText w:val="%1."/>
      <w:lvlJc w:val="left"/>
      <w:pPr>
        <w:ind w:left="516" w:firstLine="0"/>
      </w:pPr>
      <w:rPr>
        <w:rFonts w:eastAsia="Liberation Serif" w:cs="Liberation Serif"/>
        <w:b/>
        <w:bCs/>
        <w:i w:val="0"/>
        <w:strike w:val="0"/>
        <w:dstrike w:val="0"/>
        <w:color w:val="000000"/>
        <w:position w:val="0"/>
        <w:sz w:val="24"/>
        <w:szCs w:val="24"/>
        <w:u w:val="none" w:color="000000"/>
        <w:vertAlign w:val="baseline"/>
      </w:rPr>
    </w:lvl>
    <w:lvl w:ilvl="1">
      <w:start w:val="1"/>
      <w:numFmt w:val="decimal"/>
      <w:lvlText w:val="%2."/>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2" w15:restartNumberingAfterBreak="0">
    <w:nsid w:val="40D1635F"/>
    <w:multiLevelType w:val="multilevel"/>
    <w:tmpl w:val="FC6A33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DF2C49"/>
    <w:multiLevelType w:val="multilevel"/>
    <w:tmpl w:val="32A446D4"/>
    <w:lvl w:ilvl="0">
      <w:start w:val="1"/>
      <w:numFmt w:val="decimal"/>
      <w:lvlText w:val="%1"/>
      <w:lvlJc w:val="left"/>
      <w:pPr>
        <w:ind w:left="360"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4" w15:restartNumberingAfterBreak="0">
    <w:nsid w:val="60B84E73"/>
    <w:multiLevelType w:val="multilevel"/>
    <w:tmpl w:val="CA58209E"/>
    <w:lvl w:ilvl="0">
      <w:start w:val="1"/>
      <w:numFmt w:val="decimal"/>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5" w15:restartNumberingAfterBreak="0">
    <w:nsid w:val="62E82BC7"/>
    <w:multiLevelType w:val="multilevel"/>
    <w:tmpl w:val="5982550C"/>
    <w:lvl w:ilvl="0">
      <w:start w:val="1"/>
      <w:numFmt w:val="decimal"/>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B4"/>
    <w:rsid w:val="003C63AF"/>
    <w:rsid w:val="004014A4"/>
    <w:rsid w:val="006075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F4C2"/>
  <w15:docId w15:val="{3AF23250-981F-4CA7-B822-7CB5FB5B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7" w:lineRule="auto"/>
      <w:ind w:left="10" w:hanging="10"/>
      <w:jc w:val="both"/>
    </w:pPr>
    <w:rPr>
      <w:rFonts w:ascii="Liberation Serif" w:eastAsia="Liberation Serif" w:hAnsi="Liberation Serif" w:cs="Liberation Serif"/>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917E2"/>
    <w:rPr>
      <w:rFonts w:ascii="Segoe UI" w:eastAsia="Liberation Serif" w:hAnsi="Segoe UI" w:cs="Segoe UI"/>
      <w:color w:val="000000"/>
      <w:sz w:val="18"/>
      <w:szCs w:val="18"/>
    </w:rPr>
  </w:style>
  <w:style w:type="character" w:customStyle="1" w:styleId="ListLabel1">
    <w:name w:val="ListLabel 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
    <w:name w:val="ListLabel 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
    <w:name w:val="ListLabel 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
    <w:name w:val="ListLabel 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
    <w:name w:val="ListLabel 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
    <w:name w:val="ListLabel 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
    <w:name w:val="ListLabel 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
    <w:name w:val="ListLabel 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
    <w:name w:val="ListLabel 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
    <w:name w:val="ListLabel 1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
    <w:name w:val="ListLabel 1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
    <w:name w:val="ListLabel 1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
    <w:name w:val="ListLabel 1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
    <w:name w:val="ListLabel 1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5">
    <w:name w:val="ListLabel 1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6">
    <w:name w:val="ListLabel 1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7">
    <w:name w:val="ListLabel 1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8">
    <w:name w:val="ListLabel 1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9">
    <w:name w:val="ListLabel 19"/>
    <w:qFormat/>
    <w:rPr>
      <w:rFonts w:eastAsia="Liberation Serif" w:cs="Liberation Serif"/>
      <w:b/>
      <w:bCs/>
      <w:i w:val="0"/>
      <w:strike w:val="0"/>
      <w:dstrike w:val="0"/>
      <w:color w:val="000000"/>
      <w:position w:val="0"/>
      <w:sz w:val="24"/>
      <w:szCs w:val="24"/>
      <w:u w:val="none" w:color="000000"/>
      <w:vertAlign w:val="baseline"/>
    </w:rPr>
  </w:style>
  <w:style w:type="character" w:customStyle="1" w:styleId="ListLabel20">
    <w:name w:val="ListLabel 2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1">
    <w:name w:val="ListLabel 2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2">
    <w:name w:val="ListLabel 2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3">
    <w:name w:val="ListLabel 2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4">
    <w:name w:val="ListLabel 2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5">
    <w:name w:val="ListLabel 2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6">
    <w:name w:val="ListLabel 2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7">
    <w:name w:val="ListLabel 2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8">
    <w:name w:val="ListLabel 2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9">
    <w:name w:val="ListLabel 2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0">
    <w:name w:val="ListLabel 3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1">
    <w:name w:val="ListLabel 3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2">
    <w:name w:val="ListLabel 3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3">
    <w:name w:val="ListLabel 3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4">
    <w:name w:val="ListLabel 3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5">
    <w:name w:val="ListLabel 3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6">
    <w:name w:val="ListLabel 3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7">
    <w:name w:val="ListLabel 3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8">
    <w:name w:val="ListLabel 3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9">
    <w:name w:val="ListLabel 3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0">
    <w:name w:val="ListLabel 4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1">
    <w:name w:val="ListLabel 4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2">
    <w:name w:val="ListLabel 4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3">
    <w:name w:val="ListLabel 4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4">
    <w:name w:val="ListLabel 4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5">
    <w:name w:val="ListLabel 4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6">
    <w:name w:val="ListLabel 4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7">
    <w:name w:val="ListLabel 47"/>
    <w:qFormat/>
    <w:rPr>
      <w:rFonts w:cs="Liberation Serif"/>
      <w:b w:val="0"/>
      <w:i w:val="0"/>
      <w:strike w:val="0"/>
      <w:dstrike w:val="0"/>
      <w:color w:val="000000"/>
      <w:position w:val="0"/>
      <w:sz w:val="24"/>
      <w:szCs w:val="24"/>
      <w:u w:val="none" w:color="000000"/>
      <w:vertAlign w:val="baseline"/>
    </w:rPr>
  </w:style>
  <w:style w:type="character" w:customStyle="1" w:styleId="ListLabel48">
    <w:name w:val="ListLabel 48"/>
    <w:qFormat/>
    <w:rPr>
      <w:rFonts w:cs="Liberation Serif"/>
      <w:b w:val="0"/>
      <w:i w:val="0"/>
      <w:strike w:val="0"/>
      <w:dstrike w:val="0"/>
      <w:color w:val="000000"/>
      <w:position w:val="0"/>
      <w:sz w:val="24"/>
      <w:szCs w:val="24"/>
      <w:u w:val="none" w:color="000000"/>
      <w:vertAlign w:val="baseline"/>
    </w:rPr>
  </w:style>
  <w:style w:type="character" w:customStyle="1" w:styleId="ListLabel49">
    <w:name w:val="ListLabel 49"/>
    <w:qFormat/>
    <w:rPr>
      <w:rFonts w:cs="Liberation Serif"/>
      <w:b w:val="0"/>
      <w:i w:val="0"/>
      <w:strike w:val="0"/>
      <w:dstrike w:val="0"/>
      <w:color w:val="000000"/>
      <w:position w:val="0"/>
      <w:sz w:val="24"/>
      <w:szCs w:val="24"/>
      <w:u w:val="none" w:color="000000"/>
      <w:vertAlign w:val="baseline"/>
    </w:rPr>
  </w:style>
  <w:style w:type="character" w:customStyle="1" w:styleId="ListLabel50">
    <w:name w:val="ListLabel 50"/>
    <w:qFormat/>
    <w:rPr>
      <w:rFonts w:cs="Liberation Serif"/>
      <w:b w:val="0"/>
      <w:i w:val="0"/>
      <w:strike w:val="0"/>
      <w:dstrike w:val="0"/>
      <w:color w:val="000000"/>
      <w:position w:val="0"/>
      <w:sz w:val="24"/>
      <w:szCs w:val="24"/>
      <w:u w:val="none" w:color="000000"/>
      <w:vertAlign w:val="baseline"/>
    </w:rPr>
  </w:style>
  <w:style w:type="character" w:customStyle="1" w:styleId="ListLabel51">
    <w:name w:val="ListLabel 51"/>
    <w:qFormat/>
    <w:rPr>
      <w:rFonts w:cs="Liberation Serif"/>
      <w:b w:val="0"/>
      <w:i w:val="0"/>
      <w:strike w:val="0"/>
      <w:dstrike w:val="0"/>
      <w:color w:val="000000"/>
      <w:position w:val="0"/>
      <w:sz w:val="24"/>
      <w:szCs w:val="24"/>
      <w:u w:val="none" w:color="000000"/>
      <w:vertAlign w:val="baseline"/>
    </w:rPr>
  </w:style>
  <w:style w:type="character" w:customStyle="1" w:styleId="ListLabel52">
    <w:name w:val="ListLabel 52"/>
    <w:qFormat/>
    <w:rPr>
      <w:rFonts w:cs="Liberation Serif"/>
      <w:b w:val="0"/>
      <w:i w:val="0"/>
      <w:strike w:val="0"/>
      <w:dstrike w:val="0"/>
      <w:color w:val="000000"/>
      <w:position w:val="0"/>
      <w:sz w:val="24"/>
      <w:szCs w:val="24"/>
      <w:u w:val="none" w:color="000000"/>
      <w:vertAlign w:val="baseline"/>
    </w:rPr>
  </w:style>
  <w:style w:type="character" w:customStyle="1" w:styleId="ListLabel53">
    <w:name w:val="ListLabel 53"/>
    <w:qFormat/>
    <w:rPr>
      <w:rFonts w:cs="Liberation Serif"/>
      <w:b w:val="0"/>
      <w:i w:val="0"/>
      <w:strike w:val="0"/>
      <w:dstrike w:val="0"/>
      <w:color w:val="000000"/>
      <w:position w:val="0"/>
      <w:sz w:val="24"/>
      <w:szCs w:val="24"/>
      <w:u w:val="none" w:color="000000"/>
      <w:vertAlign w:val="baseline"/>
    </w:rPr>
  </w:style>
  <w:style w:type="character" w:customStyle="1" w:styleId="ListLabel54">
    <w:name w:val="ListLabel 54"/>
    <w:qFormat/>
    <w:rPr>
      <w:rFonts w:cs="Liberation Serif"/>
      <w:b w:val="0"/>
      <w:i w:val="0"/>
      <w:strike w:val="0"/>
      <w:dstrike w:val="0"/>
      <w:color w:val="000000"/>
      <w:position w:val="0"/>
      <w:sz w:val="24"/>
      <w:szCs w:val="24"/>
      <w:u w:val="none" w:color="000000"/>
      <w:vertAlign w:val="baseline"/>
    </w:rPr>
  </w:style>
  <w:style w:type="character" w:customStyle="1" w:styleId="ListLabel55">
    <w:name w:val="ListLabel 5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6">
    <w:name w:val="ListLabel 5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7">
    <w:name w:val="ListLabel 5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8">
    <w:name w:val="ListLabel 5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9">
    <w:name w:val="ListLabel 5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0">
    <w:name w:val="ListLabel 6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1">
    <w:name w:val="ListLabel 6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2">
    <w:name w:val="ListLabel 6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3">
    <w:name w:val="ListLabel 6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4">
    <w:name w:val="ListLabel 6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5">
    <w:name w:val="ListLabel 6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6">
    <w:name w:val="ListLabel 6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7">
    <w:name w:val="ListLabel 6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8">
    <w:name w:val="ListLabel 6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9">
    <w:name w:val="ListLabel 6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0">
    <w:name w:val="ListLabel 7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1">
    <w:name w:val="ListLabel 7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2">
    <w:name w:val="ListLabel 7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3">
    <w:name w:val="ListLabel 7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4">
    <w:name w:val="ListLabel 7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5">
    <w:name w:val="ListLabel 7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6">
    <w:name w:val="ListLabel 7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7">
    <w:name w:val="ListLabel 7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8">
    <w:name w:val="ListLabel 7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9">
    <w:name w:val="ListLabel 7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0">
    <w:name w:val="ListLabel 8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1">
    <w:name w:val="ListLabel 8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2">
    <w:name w:val="ListLabel 82"/>
    <w:qFormat/>
    <w:rPr>
      <w:rFonts w:cs="Liberation Serif"/>
      <w:b/>
      <w:bCs/>
      <w:i w:val="0"/>
      <w:strike w:val="0"/>
      <w:dstrike w:val="0"/>
      <w:color w:val="000000"/>
      <w:position w:val="0"/>
      <w:sz w:val="24"/>
      <w:szCs w:val="24"/>
      <w:u w:val="none" w:color="000000"/>
      <w:vertAlign w:val="baseline"/>
    </w:rPr>
  </w:style>
  <w:style w:type="character" w:customStyle="1" w:styleId="ListLabel83">
    <w:name w:val="ListLabel 83"/>
    <w:qFormat/>
    <w:rPr>
      <w:rFonts w:cs="Liberation Serif"/>
      <w:b/>
      <w:bCs/>
      <w:i w:val="0"/>
      <w:strike w:val="0"/>
      <w:dstrike w:val="0"/>
      <w:color w:val="000000"/>
      <w:position w:val="0"/>
      <w:sz w:val="24"/>
      <w:szCs w:val="24"/>
      <w:u w:val="none" w:color="000000"/>
      <w:vertAlign w:val="baseline"/>
    </w:rPr>
  </w:style>
  <w:style w:type="character" w:customStyle="1" w:styleId="ListLabel84">
    <w:name w:val="ListLabel 84"/>
    <w:qFormat/>
    <w:rPr>
      <w:rFonts w:cs="Liberation Serif"/>
      <w:b/>
      <w:bCs/>
      <w:i w:val="0"/>
      <w:strike w:val="0"/>
      <w:dstrike w:val="0"/>
      <w:color w:val="000000"/>
      <w:position w:val="0"/>
      <w:sz w:val="24"/>
      <w:szCs w:val="24"/>
      <w:u w:val="none" w:color="000000"/>
      <w:vertAlign w:val="baseline"/>
    </w:rPr>
  </w:style>
  <w:style w:type="character" w:customStyle="1" w:styleId="ListLabel85">
    <w:name w:val="ListLabel 85"/>
    <w:qFormat/>
    <w:rPr>
      <w:rFonts w:cs="Liberation Serif"/>
      <w:b/>
      <w:bCs/>
      <w:i w:val="0"/>
      <w:strike w:val="0"/>
      <w:dstrike w:val="0"/>
      <w:color w:val="000000"/>
      <w:position w:val="0"/>
      <w:sz w:val="24"/>
      <w:szCs w:val="24"/>
      <w:u w:val="none" w:color="000000"/>
      <w:vertAlign w:val="baseline"/>
    </w:rPr>
  </w:style>
  <w:style w:type="character" w:customStyle="1" w:styleId="ListLabel86">
    <w:name w:val="ListLabel 86"/>
    <w:qFormat/>
    <w:rPr>
      <w:rFonts w:cs="Liberation Serif"/>
      <w:b/>
      <w:bCs/>
      <w:i w:val="0"/>
      <w:strike w:val="0"/>
      <w:dstrike w:val="0"/>
      <w:color w:val="000000"/>
      <w:position w:val="0"/>
      <w:sz w:val="24"/>
      <w:szCs w:val="24"/>
      <w:u w:val="none" w:color="000000"/>
      <w:vertAlign w:val="baseline"/>
    </w:rPr>
  </w:style>
  <w:style w:type="character" w:customStyle="1" w:styleId="ListLabel87">
    <w:name w:val="ListLabel 87"/>
    <w:qFormat/>
    <w:rPr>
      <w:rFonts w:cs="Liberation Serif"/>
      <w:b/>
      <w:bCs/>
      <w:i w:val="0"/>
      <w:strike w:val="0"/>
      <w:dstrike w:val="0"/>
      <w:color w:val="000000"/>
      <w:position w:val="0"/>
      <w:sz w:val="24"/>
      <w:szCs w:val="24"/>
      <w:u w:val="none" w:color="000000"/>
      <w:vertAlign w:val="baseline"/>
    </w:rPr>
  </w:style>
  <w:style w:type="character" w:customStyle="1" w:styleId="ListLabel88">
    <w:name w:val="ListLabel 88"/>
    <w:qFormat/>
    <w:rPr>
      <w:rFonts w:cs="Liberation Serif"/>
      <w:b/>
      <w:bCs/>
      <w:i w:val="0"/>
      <w:strike w:val="0"/>
      <w:dstrike w:val="0"/>
      <w:color w:val="000000"/>
      <w:position w:val="0"/>
      <w:sz w:val="24"/>
      <w:szCs w:val="24"/>
      <w:u w:val="none" w:color="000000"/>
      <w:vertAlign w:val="baseline"/>
    </w:rPr>
  </w:style>
  <w:style w:type="character" w:customStyle="1" w:styleId="ListLabel89">
    <w:name w:val="ListLabel 89"/>
    <w:qFormat/>
    <w:rPr>
      <w:rFonts w:cs="Liberation Serif"/>
      <w:b/>
      <w:bCs/>
      <w:i w:val="0"/>
      <w:strike w:val="0"/>
      <w:dstrike w:val="0"/>
      <w:color w:val="000000"/>
      <w:position w:val="0"/>
      <w:sz w:val="24"/>
      <w:szCs w:val="24"/>
      <w:u w:val="none" w:color="000000"/>
      <w:vertAlign w:val="baseline"/>
    </w:rPr>
  </w:style>
  <w:style w:type="character" w:customStyle="1" w:styleId="ListLabel90">
    <w:name w:val="ListLabel 90"/>
    <w:qFormat/>
    <w:rPr>
      <w:rFonts w:cs="Liberation Serif"/>
      <w:b/>
      <w:bCs/>
      <w:i w:val="0"/>
      <w:strike w:val="0"/>
      <w:dstrike w:val="0"/>
      <w:color w:val="000000"/>
      <w:position w:val="0"/>
      <w:sz w:val="24"/>
      <w:szCs w:val="24"/>
      <w:u w:val="none" w:color="000000"/>
      <w:vertAlign w:val="baseline"/>
    </w:rPr>
  </w:style>
  <w:style w:type="character" w:customStyle="1" w:styleId="ListLabel91">
    <w:name w:val="ListLabel 91"/>
    <w:qFormat/>
    <w:rPr>
      <w:rFonts w:eastAsia="Liberation Serif" w:cs="Liberation Serif"/>
      <w:b/>
      <w:bCs/>
      <w:i w:val="0"/>
      <w:strike w:val="0"/>
      <w:dstrike w:val="0"/>
      <w:color w:val="000000"/>
      <w:position w:val="0"/>
      <w:sz w:val="24"/>
      <w:szCs w:val="24"/>
      <w:u w:val="none" w:color="000000"/>
      <w:vertAlign w:val="baseline"/>
    </w:rPr>
  </w:style>
  <w:style w:type="character" w:customStyle="1" w:styleId="ListLabel92">
    <w:name w:val="ListLabel 9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3">
    <w:name w:val="ListLabel 9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4">
    <w:name w:val="ListLabel 9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5">
    <w:name w:val="ListLabel 9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6">
    <w:name w:val="ListLabel 9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7">
    <w:name w:val="ListLabel 9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8">
    <w:name w:val="ListLabel 9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9">
    <w:name w:val="ListLabel 9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0">
    <w:name w:val="ListLabel 10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1">
    <w:name w:val="ListLabel 10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2">
    <w:name w:val="ListLabel 10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3">
    <w:name w:val="ListLabel 10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4">
    <w:name w:val="ListLabel 10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5">
    <w:name w:val="ListLabel 10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6">
    <w:name w:val="ListLabel 10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7">
    <w:name w:val="ListLabel 10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8">
    <w:name w:val="ListLabel 10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9">
    <w:name w:val="ListLabel 10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0">
    <w:name w:val="ListLabel 11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1">
    <w:name w:val="ListLabel 11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2">
    <w:name w:val="ListLabel 11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3">
    <w:name w:val="ListLabel 11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4">
    <w:name w:val="ListLabel 11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5">
    <w:name w:val="ListLabel 11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6">
    <w:name w:val="ListLabel 11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7">
    <w:name w:val="ListLabel 11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8">
    <w:name w:val="ListLabel 118"/>
    <w:qFormat/>
    <w:rPr>
      <w:rFonts w:eastAsia="Liberation Serif" w:cs="Liberation Serif"/>
      <w:b/>
      <w:bCs/>
      <w:i w:val="0"/>
      <w:strike w:val="0"/>
      <w:dstrike w:val="0"/>
      <w:color w:val="000000"/>
      <w:position w:val="0"/>
      <w:sz w:val="24"/>
      <w:szCs w:val="24"/>
      <w:u w:val="none" w:color="000000"/>
      <w:vertAlign w:val="baseline"/>
    </w:rPr>
  </w:style>
  <w:style w:type="character" w:customStyle="1" w:styleId="ListLabel119">
    <w:name w:val="ListLabel 11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0">
    <w:name w:val="ListLabel 12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1">
    <w:name w:val="ListLabel 12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2">
    <w:name w:val="ListLabel 12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3">
    <w:name w:val="ListLabel 12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4">
    <w:name w:val="ListLabel 12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5">
    <w:name w:val="ListLabel 12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6">
    <w:name w:val="ListLabel 12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7">
    <w:name w:val="ListLabel 12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8">
    <w:name w:val="ListLabel 12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9">
    <w:name w:val="ListLabel 12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0">
    <w:name w:val="ListLabel 13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1">
    <w:name w:val="ListLabel 13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2">
    <w:name w:val="ListLabel 13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3">
    <w:name w:val="ListLabel 13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4">
    <w:name w:val="ListLabel 13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5">
    <w:name w:val="ListLabel 13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6">
    <w:name w:val="ListLabel 13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7">
    <w:name w:val="ListLabel 13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8">
    <w:name w:val="ListLabel 13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9">
    <w:name w:val="ListLabel 13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0">
    <w:name w:val="ListLabel 14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1">
    <w:name w:val="ListLabel 14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2">
    <w:name w:val="ListLabel 14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3">
    <w:name w:val="ListLabel 14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4">
    <w:name w:val="ListLabel 144"/>
    <w:qFormat/>
    <w:rPr>
      <w:rFonts w:eastAsia="Liberation Serif" w:cs="Liberation Serif"/>
      <w:b w:val="0"/>
      <w:i w:val="0"/>
      <w:strike w:val="0"/>
      <w:dstrike w:val="0"/>
      <w:color w:val="000000"/>
      <w:position w:val="0"/>
      <w:sz w:val="24"/>
      <w:szCs w:val="24"/>
      <w:u w:val="none" w:color="000000"/>
      <w:vertAlign w:val="baseline"/>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Cs w:val="24"/>
    </w:rPr>
  </w:style>
  <w:style w:type="paragraph" w:customStyle="1" w:styleId="Indeks">
    <w:name w:val="Indeks"/>
    <w:basedOn w:val="Normalny"/>
    <w:qFormat/>
    <w:pPr>
      <w:suppressLineNumbers/>
    </w:pPr>
    <w:rPr>
      <w:rFonts w:cs="Arial Unicode MS"/>
    </w:rPr>
  </w:style>
  <w:style w:type="paragraph" w:styleId="Tekstdymka">
    <w:name w:val="Balloon Text"/>
    <w:basedOn w:val="Normalny"/>
    <w:link w:val="TekstdymkaZnak"/>
    <w:uiPriority w:val="99"/>
    <w:semiHidden/>
    <w:unhideWhenUsed/>
    <w:qFormat/>
    <w:rsid w:val="002917E2"/>
    <w:pPr>
      <w:spacing w:after="0" w:line="240" w:lineRule="auto"/>
    </w:pPr>
    <w:rPr>
      <w:rFonts w:ascii="Segoe UI" w:hAnsi="Segoe UI" w:cs="Segoe UI"/>
      <w:sz w:val="18"/>
      <w:szCs w:val="18"/>
    </w:rPr>
  </w:style>
  <w:style w:type="table" w:styleId="Tabela-Siatka">
    <w:name w:val="Table Grid"/>
    <w:basedOn w:val="Standardowy"/>
    <w:rsid w:val="00A6168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4014A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1590</Words>
  <Characters>9545</Characters>
  <Application>Microsoft Office Word</Application>
  <DocSecurity>0</DocSecurity>
  <Lines>79</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Agnieszka Bargieł</cp:lastModifiedBy>
  <cp:revision>10</cp:revision>
  <cp:lastPrinted>2021-05-11T13:21:00Z</cp:lastPrinted>
  <dcterms:created xsi:type="dcterms:W3CDTF">2021-04-21T10:49:00Z</dcterms:created>
  <dcterms:modified xsi:type="dcterms:W3CDTF">2021-05-21T07:23:00Z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